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0F98" w14:textId="77777777" w:rsidR="00A47B5A" w:rsidRDefault="00A47B5A">
      <w:pPr>
        <w:spacing w:after="8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27"/>
        <w:gridCol w:w="3326"/>
        <w:gridCol w:w="3427"/>
      </w:tblGrid>
      <w:tr w:rsidR="00A47B5A" w14:paraId="44F89732" w14:textId="77777777">
        <w:tblPrEx>
          <w:tblCellMar>
            <w:top w:w="0" w:type="dxa"/>
            <w:bottom w:w="0" w:type="dxa"/>
          </w:tblCellMar>
        </w:tblPrEx>
        <w:trPr>
          <w:tblHeader/>
        </w:trPr>
        <w:tc>
          <w:tcPr>
            <w:tcW w:w="3326" w:type="dxa"/>
            <w:tcBorders>
              <w:top w:val="single" w:sz="4" w:space="0" w:color="D9D9D9"/>
              <w:left w:val="single" w:sz="4" w:space="0" w:color="D9D9D9"/>
              <w:bottom w:val="single" w:sz="4" w:space="0" w:color="D9D9D9"/>
              <w:right w:val="single" w:sz="4" w:space="0" w:color="D9D9D9"/>
            </w:tcBorders>
            <w:shd w:val="clear" w:color="auto" w:fill="1E2328"/>
            <w:tcMar>
              <w:top w:w="60" w:type="dxa"/>
              <w:left w:w="100" w:type="dxa"/>
              <w:bottom w:w="60" w:type="dxa"/>
              <w:right w:w="100" w:type="dxa"/>
            </w:tcMar>
            <w:vAlign w:val="center"/>
          </w:tcPr>
          <w:p w14:paraId="04921F9A" w14:textId="77777777" w:rsidR="00A47B5A" w:rsidRDefault="00000000">
            <w:pPr>
              <w:jc w:val="center"/>
            </w:pPr>
            <w:r>
              <w:rPr>
                <w:b/>
                <w:bCs/>
                <w:color w:val="FFFFFF"/>
                <w:sz w:val="18"/>
                <w:szCs w:val="18"/>
              </w:rPr>
              <w:t>DOCUMENT NUMBER</w:t>
            </w:r>
          </w:p>
        </w:tc>
        <w:tc>
          <w:tcPr>
            <w:tcW w:w="3326" w:type="dxa"/>
            <w:tcBorders>
              <w:top w:val="single" w:sz="4" w:space="0" w:color="D9D9D9"/>
              <w:left w:val="single" w:sz="4" w:space="0" w:color="D9D9D9"/>
              <w:bottom w:val="single" w:sz="4" w:space="0" w:color="D9D9D9"/>
              <w:right w:val="single" w:sz="4" w:space="0" w:color="D9D9D9"/>
            </w:tcBorders>
            <w:shd w:val="clear" w:color="auto" w:fill="1E2328"/>
            <w:tcMar>
              <w:top w:w="60" w:type="dxa"/>
              <w:left w:w="100" w:type="dxa"/>
              <w:bottom w:w="60" w:type="dxa"/>
              <w:right w:w="100" w:type="dxa"/>
            </w:tcMar>
            <w:vAlign w:val="center"/>
          </w:tcPr>
          <w:p w14:paraId="74D30134" w14:textId="77777777" w:rsidR="00A47B5A" w:rsidRDefault="00000000">
            <w:pPr>
              <w:jc w:val="center"/>
            </w:pPr>
            <w:r>
              <w:rPr>
                <w:b/>
                <w:bCs/>
                <w:color w:val="FFFFFF"/>
                <w:sz w:val="18"/>
                <w:szCs w:val="18"/>
              </w:rPr>
              <w:t>REVISION</w:t>
            </w:r>
          </w:p>
        </w:tc>
        <w:tc>
          <w:tcPr>
            <w:tcW w:w="3427" w:type="dxa"/>
            <w:tcBorders>
              <w:top w:val="single" w:sz="4" w:space="0" w:color="D9D9D9"/>
              <w:left w:val="single" w:sz="4" w:space="0" w:color="D9D9D9"/>
              <w:bottom w:val="single" w:sz="4" w:space="0" w:color="D9D9D9"/>
              <w:right w:val="single" w:sz="4" w:space="0" w:color="D9D9D9"/>
            </w:tcBorders>
            <w:shd w:val="clear" w:color="auto" w:fill="1E2328"/>
            <w:tcMar>
              <w:top w:w="60" w:type="dxa"/>
              <w:left w:w="100" w:type="dxa"/>
              <w:bottom w:w="60" w:type="dxa"/>
              <w:right w:w="100" w:type="dxa"/>
            </w:tcMar>
            <w:vAlign w:val="center"/>
          </w:tcPr>
          <w:p w14:paraId="5DE212D0" w14:textId="77777777" w:rsidR="00A47B5A" w:rsidRDefault="00000000">
            <w:pPr>
              <w:jc w:val="center"/>
            </w:pPr>
            <w:r>
              <w:rPr>
                <w:b/>
                <w:bCs/>
                <w:color w:val="FFFFFF"/>
                <w:sz w:val="18"/>
                <w:szCs w:val="18"/>
              </w:rPr>
              <w:t>EFFECTIVE DATE</w:t>
            </w:r>
          </w:p>
        </w:tc>
      </w:tr>
      <w:tr w:rsidR="00A47B5A" w14:paraId="6AAB5129" w14:textId="77777777">
        <w:tblPrEx>
          <w:tblCellMar>
            <w:top w:w="0" w:type="dxa"/>
            <w:bottom w:w="0" w:type="dxa"/>
          </w:tblCellMar>
        </w:tblPrEx>
        <w:tc>
          <w:tcPr>
            <w:tcW w:w="3326" w:type="dxa"/>
            <w:tcBorders>
              <w:top w:val="single" w:sz="4" w:space="0" w:color="D9D9D9"/>
              <w:left w:val="single" w:sz="4" w:space="0" w:color="D9D9D9"/>
              <w:bottom w:val="single" w:sz="4" w:space="0" w:color="D9D9D9"/>
              <w:right w:val="single" w:sz="4" w:space="0" w:color="D9D9D9"/>
            </w:tcBorders>
            <w:tcMar>
              <w:top w:w="60" w:type="dxa"/>
              <w:left w:w="100" w:type="dxa"/>
              <w:bottom w:w="60" w:type="dxa"/>
              <w:right w:w="100" w:type="dxa"/>
            </w:tcMar>
          </w:tcPr>
          <w:p w14:paraId="0FCD26A5" w14:textId="77777777" w:rsidR="00A47B5A" w:rsidRDefault="00000000">
            <w:pPr>
              <w:jc w:val="center"/>
            </w:pPr>
            <w:r>
              <w:rPr>
                <w:color w:val="000000"/>
                <w:sz w:val="18"/>
                <w:szCs w:val="18"/>
              </w:rPr>
              <w:t>GPI-F-STC-001</w:t>
            </w:r>
          </w:p>
        </w:tc>
        <w:tc>
          <w:tcPr>
            <w:tcW w:w="3326" w:type="dxa"/>
            <w:tcBorders>
              <w:top w:val="single" w:sz="4" w:space="0" w:color="D9D9D9"/>
              <w:left w:val="single" w:sz="4" w:space="0" w:color="D9D9D9"/>
              <w:bottom w:val="single" w:sz="4" w:space="0" w:color="D9D9D9"/>
              <w:right w:val="single" w:sz="4" w:space="0" w:color="D9D9D9"/>
            </w:tcBorders>
            <w:tcMar>
              <w:top w:w="60" w:type="dxa"/>
              <w:left w:w="100" w:type="dxa"/>
              <w:bottom w:w="60" w:type="dxa"/>
              <w:right w:w="100" w:type="dxa"/>
            </w:tcMar>
          </w:tcPr>
          <w:p w14:paraId="4C503460" w14:textId="77777777" w:rsidR="00A47B5A" w:rsidRDefault="00000000">
            <w:pPr>
              <w:jc w:val="center"/>
            </w:pPr>
            <w:r>
              <w:rPr>
                <w:color w:val="000000"/>
                <w:sz w:val="18"/>
                <w:szCs w:val="18"/>
              </w:rPr>
              <w:t>A</w:t>
            </w:r>
          </w:p>
        </w:tc>
        <w:tc>
          <w:tcPr>
            <w:tcW w:w="3427" w:type="dxa"/>
            <w:tcBorders>
              <w:top w:val="single" w:sz="4" w:space="0" w:color="D9D9D9"/>
              <w:left w:val="single" w:sz="4" w:space="0" w:color="D9D9D9"/>
              <w:bottom w:val="single" w:sz="4" w:space="0" w:color="D9D9D9"/>
              <w:right w:val="single" w:sz="4" w:space="0" w:color="D9D9D9"/>
            </w:tcBorders>
            <w:tcMar>
              <w:top w:w="60" w:type="dxa"/>
              <w:left w:w="100" w:type="dxa"/>
              <w:bottom w:w="60" w:type="dxa"/>
              <w:right w:w="100" w:type="dxa"/>
            </w:tcMar>
          </w:tcPr>
          <w:p w14:paraId="3BF615B3" w14:textId="77777777" w:rsidR="00A47B5A" w:rsidRDefault="00000000">
            <w:pPr>
              <w:jc w:val="center"/>
            </w:pPr>
            <w:r>
              <w:rPr>
                <w:color w:val="000000"/>
                <w:sz w:val="18"/>
                <w:szCs w:val="18"/>
              </w:rPr>
              <w:t>April 21, 2026</w:t>
            </w:r>
          </w:p>
        </w:tc>
      </w:tr>
    </w:tbl>
    <w:p w14:paraId="495589A1" w14:textId="77777777" w:rsidR="00A47B5A" w:rsidRDefault="00A47B5A">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A47B5A" w14:paraId="6772F9DB" w14:textId="77777777">
        <w:tblPrEx>
          <w:tblCellMar>
            <w:top w:w="0" w:type="dxa"/>
            <w:bottom w:w="0" w:type="dxa"/>
          </w:tblCellMar>
        </w:tblPrEx>
        <w:tc>
          <w:tcPr>
            <w:tcW w:w="1008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tcPr>
          <w:p w14:paraId="718DC95D" w14:textId="77777777" w:rsidR="00A47B5A" w:rsidRDefault="00000000">
            <w:r>
              <w:rPr>
                <w:b/>
                <w:bCs/>
                <w:color w:val="1E2328"/>
                <w:sz w:val="19"/>
                <w:szCs w:val="19"/>
              </w:rPr>
              <w:t xml:space="preserve">APPLICABILITY:  </w:t>
            </w:r>
            <w:r>
              <w:rPr>
                <w:color w:val="000000"/>
                <w:sz w:val="19"/>
                <w:szCs w:val="19"/>
              </w:rPr>
              <w:t>These Terms and Conditions apply to all purchase orders issued by Glover Precision, Inc. (GPI). Acceptance of a GPI purchase order, by any means including commencement of work, constitutes acceptance of these terms. In the event of a conflict between these Terms and Conditions and the purchase order, the purchase order governs.</w:t>
            </w:r>
          </w:p>
        </w:tc>
      </w:tr>
    </w:tbl>
    <w:p w14:paraId="40E8372D" w14:textId="77777777" w:rsidR="00A47B5A" w:rsidRDefault="00A47B5A">
      <w:pPr>
        <w:spacing w:after="160"/>
      </w:pPr>
    </w:p>
    <w:p w14:paraId="2799936A" w14:textId="77777777" w:rsidR="00A47B5A" w:rsidRDefault="00000000">
      <w:pPr>
        <w:pBdr>
          <w:bottom w:val="single" w:sz="8" w:space="4" w:color="C0392B"/>
        </w:pBdr>
        <w:spacing w:before="240" w:after="80"/>
      </w:pPr>
      <w:r>
        <w:rPr>
          <w:b/>
          <w:bCs/>
          <w:color w:val="1E2328"/>
          <w:sz w:val="22"/>
          <w:szCs w:val="22"/>
        </w:rPr>
        <w:t>1.  Definitions</w:t>
      </w:r>
    </w:p>
    <w:p w14:paraId="49B909B9" w14:textId="77777777" w:rsidR="00A47B5A" w:rsidRDefault="00000000">
      <w:pPr>
        <w:spacing w:before="60" w:after="80"/>
        <w:jc w:val="both"/>
      </w:pPr>
      <w:r>
        <w:t>As used in these Terms and Conditions:</w:t>
      </w:r>
    </w:p>
    <w:p w14:paraId="5AB6CB3B" w14:textId="77777777" w:rsidR="00A47B5A" w:rsidRDefault="00000000">
      <w:pPr>
        <w:spacing w:before="60" w:after="80"/>
        <w:jc w:val="both"/>
      </w:pPr>
      <w:r>
        <w:rPr>
          <w:b/>
          <w:bCs/>
        </w:rPr>
        <w:t xml:space="preserve">Buyer </w:t>
      </w:r>
      <w:r>
        <w:t>means Glover Precision, Inc. (GPI), 4811 E Julep Rd Ste 110, Mesa, AZ 85205.</w:t>
      </w:r>
    </w:p>
    <w:p w14:paraId="319F8C26" w14:textId="77777777" w:rsidR="00A47B5A" w:rsidRDefault="00000000">
      <w:pPr>
        <w:spacing w:before="60" w:after="80"/>
        <w:jc w:val="both"/>
      </w:pPr>
      <w:r>
        <w:rPr>
          <w:b/>
          <w:bCs/>
        </w:rPr>
        <w:t xml:space="preserve">Seller </w:t>
      </w:r>
      <w:r>
        <w:t>means the supplier, vendor, or external provider to whom the purchase order is issued.</w:t>
      </w:r>
    </w:p>
    <w:p w14:paraId="50D04EFE" w14:textId="77777777" w:rsidR="00A47B5A" w:rsidRDefault="00000000">
      <w:pPr>
        <w:spacing w:before="60" w:after="80"/>
        <w:jc w:val="both"/>
      </w:pPr>
      <w:r>
        <w:rPr>
          <w:b/>
          <w:bCs/>
        </w:rPr>
        <w:t xml:space="preserve">Purchase Order (PO) </w:t>
      </w:r>
      <w:r>
        <w:t>means the GPI document authorizing Seller to provide specified products or services at an agreed price and delivery.</w:t>
      </w:r>
    </w:p>
    <w:p w14:paraId="62734129" w14:textId="77777777" w:rsidR="00A47B5A" w:rsidRDefault="00000000">
      <w:pPr>
        <w:spacing w:before="60" w:after="80"/>
        <w:jc w:val="both"/>
      </w:pPr>
      <w:r>
        <w:rPr>
          <w:b/>
          <w:bCs/>
        </w:rPr>
        <w:t xml:space="preserve">Goods </w:t>
      </w:r>
      <w:r>
        <w:t>means all materials, parts, raw material, and supplies provided by Seller under the PO.</w:t>
      </w:r>
    </w:p>
    <w:p w14:paraId="7A97A865" w14:textId="77777777" w:rsidR="00A47B5A" w:rsidRDefault="00000000">
      <w:pPr>
        <w:spacing w:before="60" w:after="80"/>
        <w:jc w:val="both"/>
      </w:pPr>
      <w:r>
        <w:rPr>
          <w:b/>
          <w:bCs/>
        </w:rPr>
        <w:t xml:space="preserve">Services </w:t>
      </w:r>
      <w:r>
        <w:t>means all outside processing, special processes, calibration, or other work performed by Seller under the PO.</w:t>
      </w:r>
    </w:p>
    <w:p w14:paraId="2724171D" w14:textId="77777777" w:rsidR="00A47B5A" w:rsidRDefault="00000000">
      <w:pPr>
        <w:spacing w:before="60" w:after="80"/>
        <w:jc w:val="both"/>
      </w:pPr>
      <w:r>
        <w:rPr>
          <w:b/>
          <w:bCs/>
        </w:rPr>
        <w:t xml:space="preserve">Specifications </w:t>
      </w:r>
      <w:r>
        <w:t>means all drawings, standards, process specifications, and technical data referenced on the PO.</w:t>
      </w:r>
    </w:p>
    <w:p w14:paraId="2E978715" w14:textId="77777777" w:rsidR="00A47B5A" w:rsidRDefault="00000000">
      <w:pPr>
        <w:spacing w:before="60" w:after="80"/>
        <w:jc w:val="both"/>
      </w:pPr>
      <w:r>
        <w:rPr>
          <w:b/>
          <w:bCs/>
        </w:rPr>
        <w:t xml:space="preserve">Nonconforming Product </w:t>
      </w:r>
      <w:r>
        <w:t>means any Goods or Services that fail to meet the requirements of the PO or applicable Specifications.</w:t>
      </w:r>
    </w:p>
    <w:p w14:paraId="0625F86A" w14:textId="77777777" w:rsidR="00A47B5A" w:rsidRDefault="00000000">
      <w:pPr>
        <w:pBdr>
          <w:bottom w:val="single" w:sz="8" w:space="4" w:color="C0392B"/>
        </w:pBdr>
        <w:spacing w:before="240" w:after="80"/>
      </w:pPr>
      <w:r>
        <w:rPr>
          <w:b/>
          <w:bCs/>
          <w:color w:val="1E2328"/>
          <w:sz w:val="22"/>
          <w:szCs w:val="22"/>
        </w:rPr>
        <w:t>2.  Order of Precedence</w:t>
      </w:r>
    </w:p>
    <w:p w14:paraId="79B7AE6E" w14:textId="77777777" w:rsidR="00A47B5A" w:rsidRDefault="00000000">
      <w:pPr>
        <w:spacing w:before="60" w:after="80"/>
        <w:jc w:val="both"/>
      </w:pPr>
      <w:r>
        <w:t>In the event of a conflict, the following order of precedence applies:</w:t>
      </w:r>
    </w:p>
    <w:p w14:paraId="16ABAD72" w14:textId="77777777" w:rsidR="00A47B5A" w:rsidRDefault="00000000">
      <w:pPr>
        <w:pStyle w:val="ListParagraph"/>
        <w:numPr>
          <w:ilvl w:val="0"/>
          <w:numId w:val="2"/>
        </w:numPr>
        <w:spacing w:before="40" w:after="40"/>
      </w:pPr>
      <w:r>
        <w:t>1st — GPI Purchase Order (specific requirements on the face of the PO govern)</w:t>
      </w:r>
    </w:p>
    <w:p w14:paraId="5329AF14" w14:textId="77777777" w:rsidR="00A47B5A" w:rsidRDefault="00000000">
      <w:pPr>
        <w:pStyle w:val="ListParagraph"/>
        <w:numPr>
          <w:ilvl w:val="0"/>
          <w:numId w:val="2"/>
        </w:numPr>
        <w:spacing w:before="40" w:after="40"/>
      </w:pPr>
      <w:r>
        <w:t>2nd — Referenced drawings and specifications (at the revision level stated on the PO)</w:t>
      </w:r>
    </w:p>
    <w:p w14:paraId="012E62BE" w14:textId="77777777" w:rsidR="00A47B5A" w:rsidRDefault="00000000">
      <w:pPr>
        <w:pStyle w:val="ListParagraph"/>
        <w:numPr>
          <w:ilvl w:val="0"/>
          <w:numId w:val="2"/>
        </w:numPr>
        <w:spacing w:before="40" w:after="40"/>
      </w:pPr>
      <w:r>
        <w:t>3rd — These Supplier Terms and Conditions</w:t>
      </w:r>
    </w:p>
    <w:p w14:paraId="6B8EC9A5" w14:textId="77777777" w:rsidR="00A47B5A" w:rsidRDefault="00000000">
      <w:pPr>
        <w:pStyle w:val="ListParagraph"/>
        <w:numPr>
          <w:ilvl w:val="0"/>
          <w:numId w:val="2"/>
        </w:numPr>
        <w:spacing w:before="40" w:after="40"/>
      </w:pPr>
      <w:r>
        <w:t>4th — Seller’s standard terms and conditions (apply only where not superseded by the above)</w:t>
      </w:r>
    </w:p>
    <w:p w14:paraId="5FDAA8BD" w14:textId="77777777" w:rsidR="00A47B5A" w:rsidRDefault="00000000">
      <w:pPr>
        <w:pBdr>
          <w:bottom w:val="single" w:sz="8" w:space="4" w:color="C0392B"/>
        </w:pBdr>
        <w:spacing w:before="240" w:after="80"/>
      </w:pPr>
      <w:r>
        <w:rPr>
          <w:b/>
          <w:bCs/>
          <w:color w:val="1E2328"/>
          <w:sz w:val="22"/>
          <w:szCs w:val="22"/>
        </w:rPr>
        <w:t>3.  Conformance to Requirements</w:t>
      </w:r>
    </w:p>
    <w:p w14:paraId="62885252" w14:textId="77777777" w:rsidR="00A47B5A" w:rsidRDefault="00000000">
      <w:pPr>
        <w:spacing w:before="60" w:after="80"/>
        <w:jc w:val="both"/>
      </w:pPr>
      <w:r>
        <w:t>Seller shall deliver Goods and Services that fully conform to all requirements stated on the PO, including the drawing number and revision, applicable specifications, material requirements, and any special requirements noted on the PO. Partial conformance is not acceptable unless GPI has issued a written Use-As-Is or Deviation authorization prior to delivery.</w:t>
      </w:r>
    </w:p>
    <w:p w14:paraId="22CAF0B4" w14:textId="77777777" w:rsidR="00A47B5A" w:rsidRDefault="00000000">
      <w:pPr>
        <w:spacing w:before="60" w:after="80"/>
        <w:jc w:val="both"/>
      </w:pPr>
      <w:r>
        <w:t>Seller shall not make any substitution of materials, processes, or sub-tier suppliers without prior written approval from GPI’s Quality Manager. This includes changes to the manufacturing location, equipment, or process sequence that could affect product conformance.</w:t>
      </w:r>
    </w:p>
    <w:p w14:paraId="5E80E5DB" w14:textId="77777777" w:rsidR="00A47B5A" w:rsidRDefault="00000000">
      <w:pPr>
        <w:pBdr>
          <w:bottom w:val="single" w:sz="8" w:space="4" w:color="C0392B"/>
        </w:pBdr>
        <w:spacing w:before="240" w:after="80"/>
      </w:pPr>
      <w:r>
        <w:rPr>
          <w:b/>
          <w:bCs/>
          <w:color w:val="1E2328"/>
          <w:sz w:val="22"/>
          <w:szCs w:val="22"/>
        </w:rPr>
        <w:t>4.  Drawing and Specification Revision Control</w:t>
      </w:r>
    </w:p>
    <w:p w14:paraId="11FEF2CE" w14:textId="77777777" w:rsidR="00A47B5A" w:rsidRDefault="00000000">
      <w:pPr>
        <w:spacing w:before="60" w:after="80"/>
        <w:jc w:val="both"/>
      </w:pPr>
      <w:r>
        <w:t>Seller shall manufacture and process Goods to the drawing revision and specification revision stated on the GPI purchase order. If a drawing or specification revision is not stated, Seller shall contact GPI before proceeding. Manufacturing to an incorrect or superseded revision is a nonconformance and may result in rejection of the Goods at Seller’s expense.</w:t>
      </w:r>
    </w:p>
    <w:p w14:paraId="7CB5800E" w14:textId="77777777" w:rsidR="00A47B5A" w:rsidRDefault="00000000">
      <w:pPr>
        <w:spacing w:before="60" w:after="80"/>
        <w:jc w:val="both"/>
      </w:pPr>
      <w:r>
        <w:t>Seller is responsible for maintaining a current copy of all drawings and specifications referenced on the PO. GPI-supplied drawings and technical data are controlled documents and shall not be disclosed to third parties without GPI’s written authorization.</w:t>
      </w:r>
    </w:p>
    <w:p w14:paraId="59FE9444" w14:textId="77777777" w:rsidR="00A47B5A" w:rsidRDefault="00000000">
      <w:pPr>
        <w:pBdr>
          <w:bottom w:val="single" w:sz="8" w:space="4" w:color="C0392B"/>
        </w:pBdr>
        <w:spacing w:before="240" w:after="80"/>
      </w:pPr>
      <w:r>
        <w:rPr>
          <w:b/>
          <w:bCs/>
          <w:color w:val="1E2328"/>
          <w:sz w:val="22"/>
          <w:szCs w:val="22"/>
        </w:rPr>
        <w:lastRenderedPageBreak/>
        <w:t>5.  Material Requirements</w:t>
      </w:r>
    </w:p>
    <w:p w14:paraId="168AE639" w14:textId="77777777" w:rsidR="00A47B5A" w:rsidRDefault="00000000">
      <w:pPr>
        <w:spacing w:before="60" w:after="80"/>
        <w:jc w:val="both"/>
      </w:pPr>
      <w:r>
        <w:t>All raw material supplied under or incorporated into a GPI purchase order shall:</w:t>
      </w:r>
    </w:p>
    <w:p w14:paraId="69AED34C" w14:textId="77777777" w:rsidR="00A47B5A" w:rsidRDefault="00000000">
      <w:pPr>
        <w:pStyle w:val="ListParagraph"/>
        <w:numPr>
          <w:ilvl w:val="0"/>
          <w:numId w:val="2"/>
        </w:numPr>
        <w:spacing w:before="40" w:after="40"/>
      </w:pPr>
      <w:r>
        <w:t>Conform to the material specification, alloy, temper, and form stated on the drawing or PO</w:t>
      </w:r>
    </w:p>
    <w:p w14:paraId="72ED0C75" w14:textId="77777777" w:rsidR="00A47B5A" w:rsidRDefault="00000000">
      <w:pPr>
        <w:pStyle w:val="ListParagraph"/>
        <w:numPr>
          <w:ilvl w:val="0"/>
          <w:numId w:val="2"/>
        </w:numPr>
        <w:spacing w:before="40" w:after="40"/>
      </w:pPr>
      <w:r>
        <w:t>Be accompanied by a material certification traceable to the same heat or lot as the material delivered</w:t>
      </w:r>
    </w:p>
    <w:p w14:paraId="0B03DC65" w14:textId="77777777" w:rsidR="00A47B5A" w:rsidRDefault="00000000">
      <w:pPr>
        <w:pStyle w:val="ListParagraph"/>
        <w:numPr>
          <w:ilvl w:val="0"/>
          <w:numId w:val="2"/>
        </w:numPr>
        <w:spacing w:before="40" w:after="40"/>
      </w:pPr>
      <w:r>
        <w:t>Be sourced from original manufacturers or authorized distributors</w:t>
      </w:r>
    </w:p>
    <w:p w14:paraId="2E2AB3C8" w14:textId="77777777" w:rsidR="00A47B5A" w:rsidRDefault="00000000">
      <w:pPr>
        <w:pStyle w:val="ListParagraph"/>
        <w:numPr>
          <w:ilvl w:val="0"/>
          <w:numId w:val="2"/>
        </w:numPr>
        <w:spacing w:before="40" w:after="40"/>
      </w:pPr>
      <w:r>
        <w:t>Not be counterfeit, suspect unapproved, or of undocumented origin</w:t>
      </w:r>
    </w:p>
    <w:p w14:paraId="373FD620" w14:textId="77777777" w:rsidR="00A47B5A" w:rsidRDefault="00A47B5A">
      <w:pPr>
        <w:spacing w:after="60"/>
      </w:pPr>
    </w:p>
    <w:p w14:paraId="270654A1" w14:textId="77777777" w:rsidR="00A47B5A" w:rsidRDefault="00000000">
      <w:pPr>
        <w:spacing w:before="60" w:after="80"/>
        <w:jc w:val="both"/>
      </w:pPr>
      <w:r>
        <w:t>Material certifications shall state the material specification, alloy, temper, heat or lot number, and the test results demonstrating conformance. Certifications that do not trace to the specific lot delivered are not acceptable. GPI may verify material certifications against the material received and may reject material where the certification cannot be verified.</w:t>
      </w:r>
    </w:p>
    <w:p w14:paraId="38E97782" w14:textId="77777777" w:rsidR="00A47B5A" w:rsidRDefault="00000000">
      <w:pPr>
        <w:pBdr>
          <w:bottom w:val="single" w:sz="8" w:space="4" w:color="C0392B"/>
        </w:pBdr>
        <w:spacing w:before="240" w:after="80"/>
      </w:pPr>
      <w:r>
        <w:rPr>
          <w:b/>
          <w:bCs/>
          <w:color w:val="1E2328"/>
          <w:sz w:val="22"/>
          <w:szCs w:val="22"/>
        </w:rPr>
        <w:t>6.  Special Process Requirements</w:t>
      </w:r>
    </w:p>
    <w:p w14:paraId="6F9A99F4" w14:textId="77777777" w:rsidR="00A47B5A" w:rsidRDefault="00000000">
      <w:pPr>
        <w:spacing w:before="60" w:after="80"/>
        <w:jc w:val="both"/>
      </w:pPr>
      <w:r>
        <w:t>When the PO requires outside special processing — including but not limited to anodizing, plating, heat treating, chemical film, passivation, or other surface treatment — Seller shall:</w:t>
      </w:r>
    </w:p>
    <w:p w14:paraId="19111CC8" w14:textId="77777777" w:rsidR="00A47B5A" w:rsidRDefault="00000000">
      <w:pPr>
        <w:pStyle w:val="ListParagraph"/>
        <w:numPr>
          <w:ilvl w:val="0"/>
          <w:numId w:val="2"/>
        </w:numPr>
        <w:spacing w:before="40" w:after="40"/>
      </w:pPr>
      <w:r>
        <w:t>Perform the process to the specific specification and revision stated on the PO</w:t>
      </w:r>
    </w:p>
    <w:p w14:paraId="4089D0CA" w14:textId="77777777" w:rsidR="00A47B5A" w:rsidRDefault="00000000">
      <w:pPr>
        <w:pStyle w:val="ListParagraph"/>
        <w:numPr>
          <w:ilvl w:val="0"/>
          <w:numId w:val="2"/>
        </w:numPr>
        <w:spacing w:before="40" w:after="40"/>
      </w:pPr>
      <w:r>
        <w:t>Issue a process certification with each lot that identifies the part number, lot or batch reference, specification processed to (including revision), date processed, and Seller’s name and signature</w:t>
      </w:r>
    </w:p>
    <w:p w14:paraId="021BAEB4" w14:textId="77777777" w:rsidR="00A47B5A" w:rsidRDefault="00000000">
      <w:pPr>
        <w:pStyle w:val="ListParagraph"/>
        <w:numPr>
          <w:ilvl w:val="0"/>
          <w:numId w:val="2"/>
        </w:numPr>
        <w:spacing w:before="40" w:after="40"/>
      </w:pPr>
      <w:r>
        <w:t>Not substitute an alternate specification or revision without prior written authorization from GPI</w:t>
      </w:r>
    </w:p>
    <w:p w14:paraId="7B09D048" w14:textId="77777777" w:rsidR="00A47B5A" w:rsidRDefault="00000000">
      <w:pPr>
        <w:pStyle w:val="ListParagraph"/>
        <w:numPr>
          <w:ilvl w:val="0"/>
          <w:numId w:val="2"/>
        </w:numPr>
        <w:spacing w:before="40" w:after="40"/>
      </w:pPr>
      <w:r>
        <w:t>Maintain process records available for review by GPI, GPI’s customers, and regulatory authorities upon request</w:t>
      </w:r>
    </w:p>
    <w:p w14:paraId="42885065" w14:textId="77777777" w:rsidR="00A47B5A" w:rsidRDefault="00A47B5A">
      <w:pPr>
        <w:spacing w:after="60"/>
      </w:pPr>
    </w:p>
    <w:p w14:paraId="0281153A" w14:textId="77777777" w:rsidR="00A47B5A" w:rsidRDefault="00000000">
      <w:pPr>
        <w:spacing w:before="60" w:after="80"/>
        <w:jc w:val="both"/>
      </w:pPr>
      <w:r>
        <w:t>Process certifications that reference the correct specification without the revision are not acceptable. GPI will reject returned parts that are not accompanied by a conforming process certification.</w:t>
      </w:r>
    </w:p>
    <w:p w14:paraId="2D180014" w14:textId="77777777" w:rsidR="00A47B5A" w:rsidRDefault="00000000">
      <w:pPr>
        <w:pBdr>
          <w:bottom w:val="single" w:sz="8" w:space="4" w:color="C0392B"/>
        </w:pBdr>
        <w:spacing w:before="240" w:after="80"/>
      </w:pPr>
      <w:r>
        <w:rPr>
          <w:b/>
          <w:bCs/>
          <w:color w:val="1E2328"/>
          <w:sz w:val="22"/>
          <w:szCs w:val="22"/>
        </w:rPr>
        <w:t>7.  Re-Processing and Rework Authorization</w:t>
      </w:r>
    </w:p>
    <w:p w14:paraId="0CC7C6FA" w14:textId="77777777" w:rsidR="00A47B5A" w:rsidRDefault="00000000">
      <w:pPr>
        <w:spacing w:before="60" w:after="80"/>
        <w:jc w:val="both"/>
      </w:pPr>
      <w:r>
        <w:t>Seller shall not re-process, rework, strip, reapply, or otherwise repeat any outside special process on Goods covered by a GPI purchase order without prior written authorization from GPI’s Quality Manager. This requirement applies to all special processes including but not limited to plating, anodizing, chemical film, heat treating, and passivation.</w:t>
      </w:r>
    </w:p>
    <w:p w14:paraId="672928C7" w14:textId="77777777" w:rsidR="00A47B5A" w:rsidRDefault="00000000">
      <w:pPr>
        <w:spacing w:before="60" w:after="80"/>
        <w:jc w:val="both"/>
      </w:pPr>
      <w:r>
        <w:t xml:space="preserve">Re-processing without authorization is a nonconformance regardless of whether </w:t>
      </w:r>
      <w:proofErr w:type="gramStart"/>
      <w:r>
        <w:t>the final result</w:t>
      </w:r>
      <w:proofErr w:type="gramEnd"/>
      <w:r>
        <w:t xml:space="preserve"> appears to meet the specification. Stripping and reapplying a coating or finish affects base material dimensions, surface integrity, and adhesion characteristics in ways that may not be detectable by visual or standard dimensional inspection. GPI’s customer requirements and product safety obligations require that any re-processing event be reviewed and approved before the parts are accepted.</w:t>
      </w:r>
    </w:p>
    <w:p w14:paraId="310E50D5" w14:textId="77777777" w:rsidR="00A47B5A" w:rsidRDefault="00000000">
      <w:pPr>
        <w:spacing w:before="60" w:after="80"/>
        <w:jc w:val="both"/>
      </w:pPr>
      <w:r>
        <w:t>When Seller identifies that re-processing may be required, Seller shall notify GPI’s Quality Manager in writing before proceeding. The notification shall describe the reason re-processing is being considered, the process to be performed, and the number of parts affected. GPI will review and provide written approval or rejection. Parts that have been re-processed without GPI authorization will be rejected and returned to Seller at Seller’s expense.</w:t>
      </w:r>
    </w:p>
    <w:p w14:paraId="0D3FBC7F" w14:textId="77777777" w:rsidR="00A47B5A" w:rsidRDefault="00000000">
      <w:pPr>
        <w:pBdr>
          <w:bottom w:val="single" w:sz="8" w:space="4" w:color="C0392B"/>
        </w:pBdr>
        <w:spacing w:before="240" w:after="80"/>
      </w:pPr>
      <w:r>
        <w:rPr>
          <w:b/>
          <w:bCs/>
          <w:color w:val="1E2328"/>
          <w:sz w:val="22"/>
          <w:szCs w:val="22"/>
        </w:rPr>
        <w:t>8.  Calibration Services</w:t>
      </w:r>
    </w:p>
    <w:p w14:paraId="612F01B1" w14:textId="77777777" w:rsidR="00A47B5A" w:rsidRDefault="00000000">
      <w:pPr>
        <w:spacing w:before="60" w:after="80"/>
        <w:jc w:val="both"/>
      </w:pPr>
      <w:r>
        <w:t>Sellers providing calibration services shall be accredited to ISO/IEC 17025 for the calibration scope applicable to the instruments being calibrated. Calibration certificates shall include:</w:t>
      </w:r>
    </w:p>
    <w:p w14:paraId="6360CDEC" w14:textId="77777777" w:rsidR="00A47B5A" w:rsidRDefault="00000000">
      <w:pPr>
        <w:pStyle w:val="ListParagraph"/>
        <w:numPr>
          <w:ilvl w:val="0"/>
          <w:numId w:val="2"/>
        </w:numPr>
        <w:spacing w:before="40" w:after="40"/>
      </w:pPr>
      <w:r>
        <w:t>Instrument identification (description, serial number, and GPI instrument ID where applicable)</w:t>
      </w:r>
    </w:p>
    <w:p w14:paraId="13C8C2C9" w14:textId="77777777" w:rsidR="00A47B5A" w:rsidRDefault="00000000">
      <w:pPr>
        <w:pStyle w:val="ListParagraph"/>
        <w:numPr>
          <w:ilvl w:val="0"/>
          <w:numId w:val="2"/>
        </w:numPr>
        <w:spacing w:before="40" w:after="40"/>
      </w:pPr>
      <w:r>
        <w:t>Calibration date and next calibration due date</w:t>
      </w:r>
    </w:p>
    <w:p w14:paraId="17E549A7" w14:textId="77777777" w:rsidR="00A47B5A" w:rsidRDefault="00000000">
      <w:pPr>
        <w:pStyle w:val="ListParagraph"/>
        <w:numPr>
          <w:ilvl w:val="0"/>
          <w:numId w:val="2"/>
        </w:numPr>
        <w:spacing w:before="40" w:after="40"/>
      </w:pPr>
      <w:r>
        <w:t>As-found and as-left condition (found in tolerance / found out of tolerance)</w:t>
      </w:r>
    </w:p>
    <w:p w14:paraId="52473AB9" w14:textId="77777777" w:rsidR="00A47B5A" w:rsidRDefault="00000000">
      <w:pPr>
        <w:pStyle w:val="ListParagraph"/>
        <w:numPr>
          <w:ilvl w:val="0"/>
          <w:numId w:val="2"/>
        </w:numPr>
        <w:spacing w:before="40" w:after="40"/>
      </w:pPr>
      <w:r>
        <w:t>Reference to the measurement standards used and their traceability to national or international standards</w:t>
      </w:r>
    </w:p>
    <w:p w14:paraId="11A4A7BF" w14:textId="77777777" w:rsidR="00A47B5A" w:rsidRDefault="00000000">
      <w:pPr>
        <w:pStyle w:val="ListParagraph"/>
        <w:numPr>
          <w:ilvl w:val="0"/>
          <w:numId w:val="2"/>
        </w:numPr>
        <w:spacing w:before="40" w:after="40"/>
      </w:pPr>
      <w:r>
        <w:t>Accreditation body and accreditation number</w:t>
      </w:r>
    </w:p>
    <w:p w14:paraId="74C40A5F" w14:textId="77777777" w:rsidR="00A47B5A" w:rsidRDefault="00A47B5A">
      <w:pPr>
        <w:spacing w:after="60"/>
      </w:pPr>
    </w:p>
    <w:p w14:paraId="1FCEE35D" w14:textId="77777777" w:rsidR="00A47B5A" w:rsidRDefault="00000000">
      <w:pPr>
        <w:spacing w:before="60" w:after="80"/>
        <w:jc w:val="both"/>
      </w:pPr>
      <w:r>
        <w:lastRenderedPageBreak/>
        <w:t>If an instrument is found out of tolerance during calibration, Seller shall notify GPI’s Quality Manager immediately and document the as-found condition on the calibration certificate. GPI will determine whether a product impact assessment is required.</w:t>
      </w:r>
    </w:p>
    <w:p w14:paraId="5EF51C35" w14:textId="77777777" w:rsidR="00A47B5A" w:rsidRDefault="00000000">
      <w:pPr>
        <w:pBdr>
          <w:bottom w:val="single" w:sz="8" w:space="4" w:color="C0392B"/>
        </w:pBdr>
        <w:spacing w:before="240" w:after="80"/>
      </w:pPr>
      <w:r>
        <w:rPr>
          <w:b/>
          <w:bCs/>
          <w:color w:val="1E2328"/>
          <w:sz w:val="22"/>
          <w:szCs w:val="22"/>
        </w:rPr>
        <w:t>9.  Certificates of Conformance</w:t>
      </w:r>
    </w:p>
    <w:p w14:paraId="7C480AA5" w14:textId="77777777" w:rsidR="00A47B5A" w:rsidRDefault="00000000">
      <w:pPr>
        <w:spacing w:before="60" w:after="80"/>
        <w:jc w:val="both"/>
      </w:pPr>
      <w:r>
        <w:t>When required by the PO or by the nature of the Goods or Services, Seller shall provide a Certificate of Conformance (C of C) with each shipment. The C of C shall state:</w:t>
      </w:r>
    </w:p>
    <w:p w14:paraId="72CD63A2" w14:textId="77777777" w:rsidR="00A47B5A" w:rsidRDefault="00000000">
      <w:pPr>
        <w:pStyle w:val="ListParagraph"/>
        <w:numPr>
          <w:ilvl w:val="0"/>
          <w:numId w:val="2"/>
        </w:numPr>
        <w:spacing w:before="40" w:after="40"/>
      </w:pPr>
      <w:r>
        <w:t>Seller’s name and address</w:t>
      </w:r>
    </w:p>
    <w:p w14:paraId="4C743C41" w14:textId="77777777" w:rsidR="00A47B5A" w:rsidRDefault="00000000">
      <w:pPr>
        <w:pStyle w:val="ListParagraph"/>
        <w:numPr>
          <w:ilvl w:val="0"/>
          <w:numId w:val="2"/>
        </w:numPr>
        <w:spacing w:before="40" w:after="40"/>
      </w:pPr>
      <w:r>
        <w:t>GPI purchase order number</w:t>
      </w:r>
    </w:p>
    <w:p w14:paraId="223873F0" w14:textId="77777777" w:rsidR="00A47B5A" w:rsidRDefault="00000000">
      <w:pPr>
        <w:pStyle w:val="ListParagraph"/>
        <w:numPr>
          <w:ilvl w:val="0"/>
          <w:numId w:val="2"/>
        </w:numPr>
        <w:spacing w:before="40" w:after="40"/>
      </w:pPr>
      <w:r>
        <w:t>Part number and revision (where applicable)</w:t>
      </w:r>
    </w:p>
    <w:p w14:paraId="6AC48E5C" w14:textId="77777777" w:rsidR="00A47B5A" w:rsidRDefault="00000000">
      <w:pPr>
        <w:pStyle w:val="ListParagraph"/>
        <w:numPr>
          <w:ilvl w:val="0"/>
          <w:numId w:val="2"/>
        </w:numPr>
        <w:spacing w:before="40" w:after="40"/>
      </w:pPr>
      <w:r>
        <w:t>Quantity shipped</w:t>
      </w:r>
    </w:p>
    <w:p w14:paraId="119646E7" w14:textId="77777777" w:rsidR="00A47B5A" w:rsidRDefault="00000000">
      <w:pPr>
        <w:pStyle w:val="ListParagraph"/>
        <w:numPr>
          <w:ilvl w:val="0"/>
          <w:numId w:val="2"/>
        </w:numPr>
        <w:spacing w:before="40" w:after="40"/>
      </w:pPr>
      <w:r>
        <w:t>A statement that the Goods or Services conform to all requirements of the purchase order and applicable specifications</w:t>
      </w:r>
    </w:p>
    <w:p w14:paraId="4D2AB98C" w14:textId="77777777" w:rsidR="00A47B5A" w:rsidRDefault="00000000">
      <w:pPr>
        <w:pStyle w:val="ListParagraph"/>
        <w:numPr>
          <w:ilvl w:val="0"/>
          <w:numId w:val="2"/>
        </w:numPr>
        <w:spacing w:before="40" w:after="40"/>
      </w:pPr>
      <w:r>
        <w:t>Authorized signature and title</w:t>
      </w:r>
    </w:p>
    <w:p w14:paraId="7B1D2173" w14:textId="77777777" w:rsidR="00A47B5A" w:rsidRDefault="00000000">
      <w:pPr>
        <w:pStyle w:val="ListParagraph"/>
        <w:numPr>
          <w:ilvl w:val="0"/>
          <w:numId w:val="2"/>
        </w:numPr>
        <w:spacing w:before="40" w:after="40"/>
      </w:pPr>
      <w:r>
        <w:t>Date of certification</w:t>
      </w:r>
    </w:p>
    <w:p w14:paraId="279920B4" w14:textId="77777777" w:rsidR="00A47B5A" w:rsidRDefault="00A47B5A">
      <w:pPr>
        <w:spacing w:after="60"/>
      </w:pPr>
    </w:p>
    <w:p w14:paraId="388870D5" w14:textId="77777777" w:rsidR="00A47B5A" w:rsidRDefault="00000000">
      <w:pPr>
        <w:spacing w:before="60" w:after="80"/>
        <w:jc w:val="both"/>
      </w:pPr>
      <w:r>
        <w:t>A C of C is required on all shipments of raw material, outside processed parts, and calibrated instruments. Shipments without a required C of C may be rejected or placed on hold until a conforming C of C is provided.</w:t>
      </w:r>
    </w:p>
    <w:p w14:paraId="655D743E" w14:textId="77777777" w:rsidR="00A47B5A" w:rsidRDefault="00000000">
      <w:pPr>
        <w:pBdr>
          <w:bottom w:val="single" w:sz="8" w:space="4" w:color="C0392B"/>
        </w:pBdr>
        <w:spacing w:before="240" w:after="80"/>
      </w:pPr>
      <w:r>
        <w:rPr>
          <w:b/>
          <w:bCs/>
          <w:color w:val="1E2328"/>
          <w:sz w:val="22"/>
          <w:szCs w:val="22"/>
        </w:rPr>
        <w:t>10.  Nonconforming Product — Notification and Disposition</w:t>
      </w:r>
    </w:p>
    <w:p w14:paraId="4D4158B2" w14:textId="77777777" w:rsidR="00A47B5A" w:rsidRDefault="00000000">
      <w:pPr>
        <w:spacing w:before="60" w:after="80"/>
        <w:jc w:val="both"/>
      </w:pPr>
      <w:r>
        <w:t>Seller shall not knowingly ship Nonconforming Product to GPI. If Seller identifies a nonconformance after Goods have been shipped, Seller shall notify GPI’s Quality Manager in writing within 24 hours of discovery. The notification shall describe the nature of the nonconformance, the affected part numbers, quantities, and PO numbers, and Seller’s assessment of the impact.</w:t>
      </w:r>
    </w:p>
    <w:p w14:paraId="5EF48D43" w14:textId="77777777" w:rsidR="00A47B5A" w:rsidRDefault="00000000">
      <w:pPr>
        <w:spacing w:before="60" w:after="80"/>
        <w:jc w:val="both"/>
      </w:pPr>
      <w:r>
        <w:t>Nonconforming Goods received at GPI will be dispositioned by GPI’s Quality Manager. GPI may, at its sole discretion:</w:t>
      </w:r>
    </w:p>
    <w:p w14:paraId="66DC330E" w14:textId="77777777" w:rsidR="00A47B5A" w:rsidRDefault="00000000">
      <w:pPr>
        <w:pStyle w:val="ListParagraph"/>
        <w:numPr>
          <w:ilvl w:val="0"/>
          <w:numId w:val="2"/>
        </w:numPr>
        <w:spacing w:before="40" w:after="40"/>
      </w:pPr>
      <w:r>
        <w:t>Return the Goods to Seller for replacement at Seller’s expense, including all shipping costs</w:t>
      </w:r>
    </w:p>
    <w:p w14:paraId="289F999F" w14:textId="77777777" w:rsidR="00A47B5A" w:rsidRDefault="00000000">
      <w:pPr>
        <w:pStyle w:val="ListParagraph"/>
        <w:numPr>
          <w:ilvl w:val="0"/>
          <w:numId w:val="2"/>
        </w:numPr>
        <w:spacing w:before="40" w:after="40"/>
      </w:pPr>
      <w:r>
        <w:t>Reject the Goods and issue a Supplier Nonconformance Report (SNCR) requiring root cause and corrective action</w:t>
      </w:r>
    </w:p>
    <w:p w14:paraId="0DD53411" w14:textId="77777777" w:rsidR="00A47B5A" w:rsidRDefault="00000000">
      <w:pPr>
        <w:pStyle w:val="ListParagraph"/>
        <w:numPr>
          <w:ilvl w:val="0"/>
          <w:numId w:val="2"/>
        </w:numPr>
        <w:spacing w:before="40" w:after="40"/>
      </w:pPr>
      <w:r>
        <w:t>Accept the Goods under a Use-As-Is disposition where authorized by GPI and, where required, by GPI’s customer</w:t>
      </w:r>
    </w:p>
    <w:p w14:paraId="473B38B5" w14:textId="77777777" w:rsidR="00A47B5A" w:rsidRDefault="00A47B5A">
      <w:pPr>
        <w:spacing w:after="60"/>
      </w:pPr>
    </w:p>
    <w:p w14:paraId="45FB4B00" w14:textId="77777777" w:rsidR="00A47B5A" w:rsidRDefault="00000000">
      <w:pPr>
        <w:spacing w:before="60" w:after="80"/>
        <w:jc w:val="both"/>
      </w:pPr>
      <w:r>
        <w:t>Seller shall provide a written root cause and corrective action response to any SNCR issued by GPI within 15 business days of receipt unless GPI specifies a shorter timeframe. Failure to respond to an SNCR within the required timeframe may result in suspension of Seller’s approved supplier status.</w:t>
      </w:r>
    </w:p>
    <w:p w14:paraId="54791145" w14:textId="77777777" w:rsidR="00A47B5A" w:rsidRDefault="00000000">
      <w:pPr>
        <w:pBdr>
          <w:bottom w:val="single" w:sz="8" w:space="4" w:color="C0392B"/>
        </w:pBdr>
        <w:spacing w:before="240" w:after="80"/>
      </w:pPr>
      <w:r>
        <w:rPr>
          <w:b/>
          <w:bCs/>
          <w:color w:val="1E2328"/>
          <w:sz w:val="22"/>
          <w:szCs w:val="22"/>
        </w:rPr>
        <w:t>11.  Process and Product Change Notification</w:t>
      </w:r>
    </w:p>
    <w:p w14:paraId="43986ED7" w14:textId="77777777" w:rsidR="00A47B5A" w:rsidRDefault="00000000">
      <w:pPr>
        <w:spacing w:before="60" w:after="80"/>
        <w:jc w:val="both"/>
      </w:pPr>
      <w:r>
        <w:t>Seller shall notify GPI’s Quality Manager in writing prior to implementing any of the following changes that could affect the conformance, quality, or traceability of Goods or Services provided to GPI:</w:t>
      </w:r>
    </w:p>
    <w:p w14:paraId="49E101BA" w14:textId="77777777" w:rsidR="00A47B5A" w:rsidRDefault="00000000">
      <w:pPr>
        <w:pStyle w:val="ListParagraph"/>
        <w:numPr>
          <w:ilvl w:val="0"/>
          <w:numId w:val="2"/>
        </w:numPr>
        <w:spacing w:before="40" w:after="40"/>
      </w:pPr>
      <w:r>
        <w:t>Change in manufacturing location or facility</w:t>
      </w:r>
    </w:p>
    <w:p w14:paraId="580C0B52" w14:textId="77777777" w:rsidR="00A47B5A" w:rsidRDefault="00000000">
      <w:pPr>
        <w:pStyle w:val="ListParagraph"/>
        <w:numPr>
          <w:ilvl w:val="0"/>
          <w:numId w:val="2"/>
        </w:numPr>
        <w:spacing w:before="40" w:after="40"/>
      </w:pPr>
      <w:r>
        <w:t>Change in manufacturing process, equipment, or tooling that could affect product characteristics</w:t>
      </w:r>
    </w:p>
    <w:p w14:paraId="611B1EF4" w14:textId="77777777" w:rsidR="00A47B5A" w:rsidRDefault="00000000">
      <w:pPr>
        <w:pStyle w:val="ListParagraph"/>
        <w:numPr>
          <w:ilvl w:val="0"/>
          <w:numId w:val="2"/>
        </w:numPr>
        <w:spacing w:before="40" w:after="40"/>
      </w:pPr>
      <w:r>
        <w:t>Change in raw material source, alloy, or supplier</w:t>
      </w:r>
    </w:p>
    <w:p w14:paraId="687F727F" w14:textId="77777777" w:rsidR="00A47B5A" w:rsidRDefault="00000000">
      <w:pPr>
        <w:pStyle w:val="ListParagraph"/>
        <w:numPr>
          <w:ilvl w:val="0"/>
          <w:numId w:val="2"/>
        </w:numPr>
        <w:spacing w:before="40" w:after="40"/>
      </w:pPr>
      <w:r>
        <w:t>Change in sub-tier supplier used for special processes or key operations</w:t>
      </w:r>
    </w:p>
    <w:p w14:paraId="7C5855A3" w14:textId="77777777" w:rsidR="00A47B5A" w:rsidRDefault="00000000">
      <w:pPr>
        <w:pStyle w:val="ListParagraph"/>
        <w:numPr>
          <w:ilvl w:val="0"/>
          <w:numId w:val="2"/>
        </w:numPr>
        <w:spacing w:before="40" w:after="40"/>
      </w:pPr>
      <w:r>
        <w:t>Change in quality management system certification status</w:t>
      </w:r>
    </w:p>
    <w:p w14:paraId="63DA56CF" w14:textId="77777777" w:rsidR="00A47B5A" w:rsidRDefault="00000000">
      <w:pPr>
        <w:pStyle w:val="ListParagraph"/>
        <w:numPr>
          <w:ilvl w:val="0"/>
          <w:numId w:val="2"/>
        </w:numPr>
        <w:spacing w:before="40" w:after="40"/>
      </w:pPr>
      <w:r>
        <w:t>Change in ownership or management that could affect quality system continuity</w:t>
      </w:r>
    </w:p>
    <w:p w14:paraId="4A412222" w14:textId="77777777" w:rsidR="00A47B5A" w:rsidRDefault="00A47B5A">
      <w:pPr>
        <w:spacing w:after="60"/>
      </w:pPr>
    </w:p>
    <w:p w14:paraId="3FC75183" w14:textId="77777777" w:rsidR="00A47B5A" w:rsidRDefault="00000000">
      <w:pPr>
        <w:spacing w:before="60" w:after="80"/>
        <w:jc w:val="both"/>
      </w:pPr>
      <w:r>
        <w:t>GPI must provide written approval before any such change is implemented on product or services intended for GPI. Unauthorized changes are a nonconformance and may result in rejection of affected Goods and suspension of approved supplier status.</w:t>
      </w:r>
    </w:p>
    <w:p w14:paraId="5C8EDC4A" w14:textId="77777777" w:rsidR="00A47B5A" w:rsidRDefault="00000000">
      <w:pPr>
        <w:pBdr>
          <w:bottom w:val="single" w:sz="8" w:space="4" w:color="C0392B"/>
        </w:pBdr>
        <w:spacing w:before="240" w:after="80"/>
      </w:pPr>
      <w:r>
        <w:rPr>
          <w:b/>
          <w:bCs/>
          <w:color w:val="1E2328"/>
          <w:sz w:val="22"/>
          <w:szCs w:val="22"/>
        </w:rPr>
        <w:lastRenderedPageBreak/>
        <w:t>12.  Counterfeit Part Prevention</w:t>
      </w:r>
    </w:p>
    <w:p w14:paraId="6FA5EA95" w14:textId="77777777" w:rsidR="00A47B5A" w:rsidRDefault="00000000">
      <w:pPr>
        <w:spacing w:before="60" w:after="80"/>
        <w:jc w:val="both"/>
      </w:pPr>
      <w:r>
        <w:t>Seller shall not provide counterfeit or suspect unapproved parts, materials, or components to GPI under any circumstances. Seller shall source all Goods from original manufacturers, authorized distributors, or other approved sources with full traceability to the original manufacturer.</w:t>
      </w:r>
    </w:p>
    <w:p w14:paraId="4B253EF4" w14:textId="77777777" w:rsidR="00A47B5A" w:rsidRDefault="00000000">
      <w:pPr>
        <w:spacing w:before="60" w:after="80"/>
        <w:jc w:val="both"/>
      </w:pPr>
      <w:r>
        <w:t>If Seller discovers or suspects that any Goods supplied or intended to be supplied to GPI may be counterfeit or suspect unapproved, Seller shall immediately quarantine the affected Goods and notify GPI’s Quality Manager in writing. Suspect counterfeit Goods shall not be returned to the supply chain.</w:t>
      </w:r>
    </w:p>
    <w:p w14:paraId="6EECF4F9" w14:textId="77777777" w:rsidR="00A47B5A" w:rsidRDefault="00000000">
      <w:pPr>
        <w:spacing w:before="60" w:after="80"/>
        <w:jc w:val="both"/>
      </w:pPr>
      <w:r>
        <w:t>Seller shall have and maintain processes for counterfeit part prevention consistent with the requirements of AS5553 or equivalent, as applicable to the products and services provided.</w:t>
      </w:r>
    </w:p>
    <w:p w14:paraId="137EE899" w14:textId="77777777" w:rsidR="00A47B5A" w:rsidRDefault="00000000">
      <w:pPr>
        <w:pBdr>
          <w:bottom w:val="single" w:sz="8" w:space="4" w:color="C0392B"/>
        </w:pBdr>
        <w:spacing w:before="240" w:after="80"/>
      </w:pPr>
      <w:r>
        <w:rPr>
          <w:b/>
          <w:bCs/>
          <w:color w:val="1E2328"/>
          <w:sz w:val="22"/>
          <w:szCs w:val="22"/>
        </w:rPr>
        <w:t>13.  Right of Access</w:t>
      </w:r>
    </w:p>
    <w:p w14:paraId="06ADFDE4" w14:textId="77777777" w:rsidR="00A47B5A" w:rsidRDefault="00000000">
      <w:pPr>
        <w:spacing w:before="60" w:after="80"/>
        <w:jc w:val="both"/>
      </w:pPr>
      <w:r>
        <w:t>GPI, GPI’s customers, and applicable regulatory authorities shall have the right of access to Seller’s facilities, processes, and documented information at any level of the supply chain, to the extent necessary to verify that Goods and Services conform to applicable requirements. Seller shall flow this right of access down to its sub-tier suppliers.</w:t>
      </w:r>
    </w:p>
    <w:p w14:paraId="5BF1D22B" w14:textId="77777777" w:rsidR="00A47B5A" w:rsidRDefault="00000000">
      <w:pPr>
        <w:spacing w:before="60" w:after="80"/>
        <w:jc w:val="both"/>
      </w:pPr>
      <w:r>
        <w:t>This right of access includes the ability to conduct source inspection, witness testing, review quality records, and audit Seller’s quality management system. GPI will provide reasonable advance notice of planned access requests except where urgency or regulatory requirements necessitate immediate access.</w:t>
      </w:r>
    </w:p>
    <w:p w14:paraId="67189A41" w14:textId="77777777" w:rsidR="00A47B5A" w:rsidRDefault="00000000">
      <w:pPr>
        <w:pBdr>
          <w:bottom w:val="single" w:sz="8" w:space="4" w:color="C0392B"/>
        </w:pBdr>
        <w:spacing w:before="240" w:after="80"/>
      </w:pPr>
      <w:r>
        <w:rPr>
          <w:b/>
          <w:bCs/>
          <w:color w:val="1E2328"/>
          <w:sz w:val="22"/>
          <w:szCs w:val="22"/>
        </w:rPr>
        <w:t>14.  Record Retention</w:t>
      </w:r>
    </w:p>
    <w:p w14:paraId="35E29943" w14:textId="77777777" w:rsidR="00A47B5A" w:rsidRDefault="00000000">
      <w:pPr>
        <w:spacing w:before="60" w:after="80"/>
        <w:jc w:val="both"/>
      </w:pPr>
      <w:r>
        <w:t>Seller shall retain all quality records related to Goods and Services provided to GPI for a minimum of ten (10) years from the date of delivery, or as otherwise specified by GPI on the purchase order. Quality records include but are not limited to:</w:t>
      </w:r>
    </w:p>
    <w:p w14:paraId="511E7D86" w14:textId="77777777" w:rsidR="00A47B5A" w:rsidRDefault="00000000">
      <w:pPr>
        <w:pStyle w:val="ListParagraph"/>
        <w:numPr>
          <w:ilvl w:val="0"/>
          <w:numId w:val="2"/>
        </w:numPr>
        <w:spacing w:before="40" w:after="40"/>
      </w:pPr>
      <w:r>
        <w:t>Material certifications</w:t>
      </w:r>
    </w:p>
    <w:p w14:paraId="19C263E2" w14:textId="77777777" w:rsidR="00A47B5A" w:rsidRDefault="00000000">
      <w:pPr>
        <w:pStyle w:val="ListParagraph"/>
        <w:numPr>
          <w:ilvl w:val="0"/>
          <w:numId w:val="2"/>
        </w:numPr>
        <w:spacing w:before="40" w:after="40"/>
      </w:pPr>
      <w:r>
        <w:t>Process certifications and traveler records</w:t>
      </w:r>
    </w:p>
    <w:p w14:paraId="517EA5A6" w14:textId="77777777" w:rsidR="00A47B5A" w:rsidRDefault="00000000">
      <w:pPr>
        <w:pStyle w:val="ListParagraph"/>
        <w:numPr>
          <w:ilvl w:val="0"/>
          <w:numId w:val="2"/>
        </w:numPr>
        <w:spacing w:before="40" w:after="40"/>
      </w:pPr>
      <w:r>
        <w:t>Calibration certificates and records</w:t>
      </w:r>
    </w:p>
    <w:p w14:paraId="02A5B543" w14:textId="77777777" w:rsidR="00A47B5A" w:rsidRDefault="00000000">
      <w:pPr>
        <w:pStyle w:val="ListParagraph"/>
        <w:numPr>
          <w:ilvl w:val="0"/>
          <w:numId w:val="2"/>
        </w:numPr>
        <w:spacing w:before="40" w:after="40"/>
      </w:pPr>
      <w:r>
        <w:t>Inspection and test records</w:t>
      </w:r>
    </w:p>
    <w:p w14:paraId="2A278AA8" w14:textId="77777777" w:rsidR="00A47B5A" w:rsidRDefault="00000000">
      <w:pPr>
        <w:pStyle w:val="ListParagraph"/>
        <w:numPr>
          <w:ilvl w:val="0"/>
          <w:numId w:val="2"/>
        </w:numPr>
        <w:spacing w:before="40" w:after="40"/>
      </w:pPr>
      <w:r>
        <w:t>Nonconformance and corrective action records</w:t>
      </w:r>
    </w:p>
    <w:p w14:paraId="49FF152B" w14:textId="77777777" w:rsidR="00A47B5A" w:rsidRDefault="00000000">
      <w:pPr>
        <w:pStyle w:val="ListParagraph"/>
        <w:numPr>
          <w:ilvl w:val="0"/>
          <w:numId w:val="2"/>
        </w:numPr>
        <w:spacing w:before="40" w:after="40"/>
      </w:pPr>
      <w:r>
        <w:t>First article inspection records (where applicable)</w:t>
      </w:r>
    </w:p>
    <w:p w14:paraId="59DBDDB3" w14:textId="77777777" w:rsidR="00A47B5A" w:rsidRDefault="00A47B5A">
      <w:pPr>
        <w:spacing w:after="60"/>
      </w:pPr>
    </w:p>
    <w:p w14:paraId="62D4F604" w14:textId="77777777" w:rsidR="00A47B5A" w:rsidRDefault="00000000">
      <w:pPr>
        <w:spacing w:before="60" w:after="80"/>
        <w:jc w:val="both"/>
      </w:pPr>
      <w:r>
        <w:t>Records shall be legible, retrievable, and protected from damage or loss. Upon GPI’s request, Seller shall provide copies of applicable records within five (5) business days.</w:t>
      </w:r>
    </w:p>
    <w:p w14:paraId="1EEED710" w14:textId="77777777" w:rsidR="00A47B5A" w:rsidRDefault="00000000">
      <w:pPr>
        <w:pBdr>
          <w:bottom w:val="single" w:sz="8" w:space="4" w:color="C0392B"/>
        </w:pBdr>
        <w:spacing w:before="240" w:after="80"/>
      </w:pPr>
      <w:r>
        <w:rPr>
          <w:b/>
          <w:bCs/>
          <w:color w:val="1E2328"/>
          <w:sz w:val="22"/>
          <w:szCs w:val="22"/>
        </w:rPr>
        <w:t>15.  Quality Management System</w:t>
      </w:r>
    </w:p>
    <w:p w14:paraId="4BBD51F6" w14:textId="77777777" w:rsidR="00A47B5A" w:rsidRDefault="00000000">
      <w:pPr>
        <w:spacing w:before="60" w:after="80"/>
        <w:jc w:val="both"/>
      </w:pPr>
      <w:r>
        <w:t>GPI qualifies external providers based on their ability to meet requirements. Qualification may be based on third-party quality management system certification, GPI’s own evaluation of the supplier’s capability and performance, or both, depending on the nature and criticality of the products or services being provided.</w:t>
      </w:r>
    </w:p>
    <w:p w14:paraId="38FE1958" w14:textId="77777777" w:rsidR="00A47B5A" w:rsidRDefault="00000000">
      <w:pPr>
        <w:spacing w:before="60" w:after="80"/>
        <w:jc w:val="both"/>
      </w:pPr>
      <w:r>
        <w:t>Where GPI’s purchase order or GPI’s customer requirements specify that Seller must hold a quality management system certification — such as ISO 9001, AS9100, AS9120, ISO/IEC 17025, or equivalent — Seller shall maintain that certification in good standing for the duration of the purchase order. Evidence of current certification shall be provided to GPI upon request and shall be updated in GPI’s Approved Supplier List whenever a renewal or recertification occurs.</w:t>
      </w:r>
    </w:p>
    <w:p w14:paraId="071F09AF" w14:textId="77777777" w:rsidR="00A47B5A" w:rsidRDefault="00000000">
      <w:pPr>
        <w:spacing w:before="60" w:after="80"/>
        <w:jc w:val="both"/>
      </w:pPr>
      <w:r>
        <w:t>Where GPI has qualified Seller through GPI’s own evaluation process rather than third-party certification, Seller shall maintain the quality practices and capabilities that formed the basis of GPI’s approval. Any significant change to Seller’s processes, personnel, equipment, or facility that could affect the basis of GPI’s qualification shall be reported to GPI’s Quality Manager per Section 11 of these Terms and Conditions.</w:t>
      </w:r>
    </w:p>
    <w:p w14:paraId="4CC32157" w14:textId="77777777" w:rsidR="00A47B5A" w:rsidRDefault="00000000">
      <w:pPr>
        <w:spacing w:before="60" w:after="80"/>
        <w:jc w:val="both"/>
      </w:pPr>
      <w:r>
        <w:t>Loss of a required quality management system certification shall be reported to GPI’s Quality Manager within five (5) business days. GPI may place Seller on Conditional status and require corrective action prior to resuming normal purchase order activity.</w:t>
      </w:r>
    </w:p>
    <w:p w14:paraId="74E2EB3B" w14:textId="77777777" w:rsidR="00A47B5A" w:rsidRDefault="00000000">
      <w:pPr>
        <w:pBdr>
          <w:bottom w:val="single" w:sz="8" w:space="4" w:color="C0392B"/>
        </w:pBdr>
        <w:spacing w:before="240" w:after="80"/>
      </w:pPr>
      <w:r>
        <w:rPr>
          <w:b/>
          <w:bCs/>
          <w:color w:val="1E2328"/>
          <w:sz w:val="22"/>
          <w:szCs w:val="22"/>
        </w:rPr>
        <w:lastRenderedPageBreak/>
        <w:t>16.  Flow-Down of Customer Requirements</w:t>
      </w:r>
    </w:p>
    <w:p w14:paraId="40673477" w14:textId="57052BDF" w:rsidR="00A47B5A" w:rsidRDefault="00000000">
      <w:pPr>
        <w:spacing w:before="60" w:after="80"/>
        <w:jc w:val="both"/>
      </w:pPr>
      <w:r>
        <w:t>Where GPI’s purchase order identifies customer-specific requirements — including requirements from GPI’s customers such as defense and aerospace customers — Seller shall comply with those requirements and flow them down to its sub-tier suppliers as applicable. Customer-specific requirements will be identified on the PO or in referenced documents.</w:t>
      </w:r>
    </w:p>
    <w:p w14:paraId="525480A3" w14:textId="77777777" w:rsidR="00A47B5A" w:rsidRDefault="00000000">
      <w:pPr>
        <w:spacing w:before="60" w:after="80"/>
        <w:jc w:val="both"/>
      </w:pPr>
      <w:r>
        <w:t>Seller shall not disclose GPI’s customer identities, customer purchase order numbers, or customer requirements to any third party without GPI’s prior written authorization.</w:t>
      </w:r>
    </w:p>
    <w:p w14:paraId="0ED7CB07" w14:textId="77777777" w:rsidR="00A47B5A" w:rsidRDefault="00000000">
      <w:pPr>
        <w:pBdr>
          <w:bottom w:val="single" w:sz="8" w:space="4" w:color="C0392B"/>
        </w:pBdr>
        <w:spacing w:before="240" w:after="80"/>
      </w:pPr>
      <w:r>
        <w:rPr>
          <w:b/>
          <w:bCs/>
          <w:color w:val="1E2328"/>
          <w:sz w:val="22"/>
          <w:szCs w:val="22"/>
        </w:rPr>
        <w:t>17.  Delivery Requirements</w:t>
      </w:r>
    </w:p>
    <w:p w14:paraId="07948EE8" w14:textId="77777777" w:rsidR="00A47B5A" w:rsidRDefault="00000000">
      <w:pPr>
        <w:spacing w:before="60" w:after="80"/>
        <w:jc w:val="both"/>
      </w:pPr>
      <w:r>
        <w:t>Seller shall deliver Goods and Services by the date stated on the purchase order. If Seller anticipates a late delivery, Seller shall notify GPI’s purchasing contact at the earliest opportunity and provide an updated delivery date. Late delivery without prior notification is a supplier performance issue and will be recorded in GPI’s supplier performance tracking system.</w:t>
      </w:r>
    </w:p>
    <w:p w14:paraId="693B1912" w14:textId="77777777" w:rsidR="00A47B5A" w:rsidRDefault="00000000">
      <w:pPr>
        <w:spacing w:before="60" w:after="80"/>
        <w:jc w:val="both"/>
      </w:pPr>
      <w:r>
        <w:t>Goods shall be packaged, labeled, and shipped in a manner that prevents damage, deterioration, or loss of identification during transit. Each shipment shall include a packing list identifying the PO number, part numbers, and quantities shipped.</w:t>
      </w:r>
    </w:p>
    <w:p w14:paraId="1B3DA99F" w14:textId="77777777" w:rsidR="00A47B5A" w:rsidRDefault="00000000">
      <w:pPr>
        <w:pBdr>
          <w:bottom w:val="single" w:sz="8" w:space="4" w:color="C0392B"/>
        </w:pBdr>
        <w:spacing w:before="240" w:after="80"/>
      </w:pPr>
      <w:r>
        <w:rPr>
          <w:b/>
          <w:bCs/>
          <w:color w:val="1E2328"/>
          <w:sz w:val="22"/>
          <w:szCs w:val="22"/>
        </w:rPr>
        <w:t>18.  Acceptance and Rejection</w:t>
      </w:r>
    </w:p>
    <w:p w14:paraId="27A109B0" w14:textId="77777777" w:rsidR="00A47B5A" w:rsidRDefault="00000000">
      <w:pPr>
        <w:spacing w:before="60" w:after="80"/>
        <w:jc w:val="both"/>
      </w:pPr>
      <w:r>
        <w:t>Receipt of Goods by GPI does not constitute acceptance. Acceptance is conditional upon GPI’s completion of receiving inspection and verification that the Goods conform to all purchase order requirements. GPI reserves the right to reject Nonconforming Goods at any time, including after delivery or during production, if a nonconformance is discovered.</w:t>
      </w:r>
    </w:p>
    <w:p w14:paraId="67FD5F01" w14:textId="77777777" w:rsidR="00A47B5A" w:rsidRDefault="00000000">
      <w:pPr>
        <w:spacing w:before="60" w:after="80"/>
        <w:jc w:val="both"/>
      </w:pPr>
      <w:r>
        <w:t>Rejected Goods will be returned to Seller at Seller’s expense or held at GPI’s facility pending disposition instructions. Seller shall provide a replacement shipment or corrective action response within a timeframe agreed with GPI’s Quality Manager.</w:t>
      </w:r>
    </w:p>
    <w:p w14:paraId="7E32A0CC" w14:textId="77777777" w:rsidR="00A47B5A" w:rsidRDefault="00000000">
      <w:pPr>
        <w:pBdr>
          <w:bottom w:val="single" w:sz="8" w:space="4" w:color="C0392B"/>
        </w:pBdr>
        <w:spacing w:before="240" w:after="80"/>
      </w:pPr>
      <w:r>
        <w:rPr>
          <w:b/>
          <w:bCs/>
          <w:color w:val="1E2328"/>
          <w:sz w:val="22"/>
          <w:szCs w:val="22"/>
        </w:rPr>
        <w:t>19.  Ethics and Conduct</w:t>
      </w:r>
    </w:p>
    <w:p w14:paraId="774FA07A" w14:textId="77777777" w:rsidR="00A47B5A" w:rsidRDefault="00000000">
      <w:pPr>
        <w:spacing w:before="60" w:after="80"/>
        <w:jc w:val="both"/>
      </w:pPr>
      <w:r>
        <w:t>Seller shall conduct business with GPI with honesty, integrity, and in compliance with all applicable laws and regulations. Seller shall not engage in fraudulent, deceptive, or unethical practices in connection with the provision of Goods or Services to GPI, including falsification of certifications, test results, or traceability records.</w:t>
      </w:r>
    </w:p>
    <w:p w14:paraId="44CC5797" w14:textId="77777777" w:rsidR="00A47B5A" w:rsidRDefault="00000000">
      <w:pPr>
        <w:spacing w:before="60" w:after="80"/>
        <w:jc w:val="both"/>
      </w:pPr>
      <w:r>
        <w:t>The importance of ethical behavior is a core requirement of GPI’s quality management system and is flowed down to all external providers consistent with AS9100 Rev D §8.4.3.</w:t>
      </w:r>
    </w:p>
    <w:p w14:paraId="6E490BA7" w14:textId="77777777" w:rsidR="00A47B5A" w:rsidRDefault="00000000">
      <w:pPr>
        <w:pBdr>
          <w:bottom w:val="single" w:sz="8" w:space="4" w:color="C0392B"/>
        </w:pBdr>
        <w:spacing w:before="240" w:after="80"/>
      </w:pPr>
      <w:r>
        <w:rPr>
          <w:b/>
          <w:bCs/>
          <w:color w:val="1E2328"/>
          <w:sz w:val="22"/>
          <w:szCs w:val="22"/>
        </w:rPr>
        <w:t>20.  Amendments and Waivers</w:t>
      </w:r>
    </w:p>
    <w:p w14:paraId="0350F0AB" w14:textId="77777777" w:rsidR="00A47B5A" w:rsidRDefault="00000000">
      <w:pPr>
        <w:spacing w:before="60" w:after="80"/>
        <w:jc w:val="both"/>
      </w:pPr>
      <w:r>
        <w:t>These Terms and Conditions may be amended only by a written document signed by an authorized representative of GPI. No waiver of any provision shall be effective unless in writing. A waiver of any breach or nonconformance shall not constitute a waiver of any subsequent breach or nonconformance.</w:t>
      </w:r>
    </w:p>
    <w:p w14:paraId="532D9248" w14:textId="77777777" w:rsidR="00A47B5A" w:rsidRDefault="00A47B5A">
      <w:pPr>
        <w:spacing w:after="80"/>
      </w:pPr>
    </w:p>
    <w:p w14:paraId="1651BCE9" w14:textId="77777777" w:rsidR="00A47B5A" w:rsidRDefault="00000000">
      <w:pPr>
        <w:pBdr>
          <w:bottom w:val="single" w:sz="8" w:space="4" w:color="C0392B"/>
        </w:pBdr>
        <w:spacing w:before="240" w:after="80"/>
      </w:pPr>
      <w:r>
        <w:rPr>
          <w:b/>
          <w:bCs/>
          <w:color w:val="1E2328"/>
          <w:sz w:val="22"/>
          <w:szCs w:val="22"/>
        </w:rPr>
        <w:t>Revision History</w:t>
      </w:r>
    </w:p>
    <w:p w14:paraId="58C8FE93" w14:textId="77777777" w:rsidR="00A47B5A" w:rsidRDefault="00A47B5A">
      <w:pPr>
        <w:spacing w:after="4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6"/>
        <w:gridCol w:w="1814"/>
        <w:gridCol w:w="2016"/>
        <w:gridCol w:w="5444"/>
      </w:tblGrid>
      <w:tr w:rsidR="00A47B5A" w14:paraId="506AD129" w14:textId="77777777">
        <w:tblPrEx>
          <w:tblCellMar>
            <w:top w:w="0" w:type="dxa"/>
            <w:bottom w:w="0" w:type="dxa"/>
          </w:tblCellMar>
        </w:tblPrEx>
        <w:trPr>
          <w:tblHeader/>
        </w:trPr>
        <w:tc>
          <w:tcPr>
            <w:tcW w:w="806" w:type="dxa"/>
            <w:tcBorders>
              <w:top w:val="single" w:sz="4" w:space="0" w:color="D9D9D9"/>
              <w:left w:val="single" w:sz="4" w:space="0" w:color="D9D9D9"/>
              <w:bottom w:val="single" w:sz="4" w:space="0" w:color="D9D9D9"/>
              <w:right w:val="single" w:sz="4" w:space="0" w:color="D9D9D9"/>
            </w:tcBorders>
            <w:shd w:val="clear" w:color="auto" w:fill="1E2328"/>
            <w:tcMar>
              <w:top w:w="60" w:type="dxa"/>
              <w:left w:w="100" w:type="dxa"/>
              <w:bottom w:w="60" w:type="dxa"/>
              <w:right w:w="100" w:type="dxa"/>
            </w:tcMar>
            <w:vAlign w:val="center"/>
          </w:tcPr>
          <w:p w14:paraId="31DB35A1" w14:textId="77777777" w:rsidR="00A47B5A" w:rsidRDefault="00000000">
            <w:pPr>
              <w:jc w:val="center"/>
            </w:pPr>
            <w:r>
              <w:rPr>
                <w:b/>
                <w:bCs/>
                <w:color w:val="FFFFFF"/>
                <w:sz w:val="18"/>
                <w:szCs w:val="18"/>
              </w:rPr>
              <w:t>Rev</w:t>
            </w:r>
          </w:p>
        </w:tc>
        <w:tc>
          <w:tcPr>
            <w:tcW w:w="1814" w:type="dxa"/>
            <w:tcBorders>
              <w:top w:val="single" w:sz="4" w:space="0" w:color="D9D9D9"/>
              <w:left w:val="single" w:sz="4" w:space="0" w:color="D9D9D9"/>
              <w:bottom w:val="single" w:sz="4" w:space="0" w:color="D9D9D9"/>
              <w:right w:val="single" w:sz="4" w:space="0" w:color="D9D9D9"/>
            </w:tcBorders>
            <w:shd w:val="clear" w:color="auto" w:fill="1E2328"/>
            <w:tcMar>
              <w:top w:w="60" w:type="dxa"/>
              <w:left w:w="100" w:type="dxa"/>
              <w:bottom w:w="60" w:type="dxa"/>
              <w:right w:w="100" w:type="dxa"/>
            </w:tcMar>
            <w:vAlign w:val="center"/>
          </w:tcPr>
          <w:p w14:paraId="41A52E5D" w14:textId="77777777" w:rsidR="00A47B5A" w:rsidRDefault="00000000">
            <w:pPr>
              <w:jc w:val="center"/>
            </w:pPr>
            <w:r>
              <w:rPr>
                <w:b/>
                <w:bCs/>
                <w:color w:val="FFFFFF"/>
                <w:sz w:val="18"/>
                <w:szCs w:val="18"/>
              </w:rPr>
              <w:t>Date</w:t>
            </w:r>
          </w:p>
        </w:tc>
        <w:tc>
          <w:tcPr>
            <w:tcW w:w="2016" w:type="dxa"/>
            <w:tcBorders>
              <w:top w:val="single" w:sz="4" w:space="0" w:color="D9D9D9"/>
              <w:left w:val="single" w:sz="4" w:space="0" w:color="D9D9D9"/>
              <w:bottom w:val="single" w:sz="4" w:space="0" w:color="D9D9D9"/>
              <w:right w:val="single" w:sz="4" w:space="0" w:color="D9D9D9"/>
            </w:tcBorders>
            <w:shd w:val="clear" w:color="auto" w:fill="1E2328"/>
            <w:tcMar>
              <w:top w:w="60" w:type="dxa"/>
              <w:left w:w="100" w:type="dxa"/>
              <w:bottom w:w="60" w:type="dxa"/>
              <w:right w:w="100" w:type="dxa"/>
            </w:tcMar>
            <w:vAlign w:val="center"/>
          </w:tcPr>
          <w:p w14:paraId="78F08D8F" w14:textId="77777777" w:rsidR="00A47B5A" w:rsidRDefault="00000000">
            <w:pPr>
              <w:jc w:val="center"/>
            </w:pPr>
            <w:r>
              <w:rPr>
                <w:b/>
                <w:bCs/>
                <w:color w:val="FFFFFF"/>
                <w:sz w:val="18"/>
                <w:szCs w:val="18"/>
              </w:rPr>
              <w:t>Author</w:t>
            </w:r>
          </w:p>
        </w:tc>
        <w:tc>
          <w:tcPr>
            <w:tcW w:w="5443" w:type="dxa"/>
            <w:tcBorders>
              <w:top w:val="single" w:sz="4" w:space="0" w:color="D9D9D9"/>
              <w:left w:val="single" w:sz="4" w:space="0" w:color="D9D9D9"/>
              <w:bottom w:val="single" w:sz="4" w:space="0" w:color="D9D9D9"/>
              <w:right w:val="single" w:sz="4" w:space="0" w:color="D9D9D9"/>
            </w:tcBorders>
            <w:shd w:val="clear" w:color="auto" w:fill="1E2328"/>
            <w:tcMar>
              <w:top w:w="60" w:type="dxa"/>
              <w:left w:w="100" w:type="dxa"/>
              <w:bottom w:w="60" w:type="dxa"/>
              <w:right w:w="100" w:type="dxa"/>
            </w:tcMar>
            <w:vAlign w:val="center"/>
          </w:tcPr>
          <w:p w14:paraId="3F7396BE" w14:textId="77777777" w:rsidR="00A47B5A" w:rsidRDefault="00000000">
            <w:pPr>
              <w:jc w:val="center"/>
            </w:pPr>
            <w:r>
              <w:rPr>
                <w:b/>
                <w:bCs/>
                <w:color w:val="FFFFFF"/>
                <w:sz w:val="18"/>
                <w:szCs w:val="18"/>
              </w:rPr>
              <w:t>Description</w:t>
            </w:r>
          </w:p>
        </w:tc>
      </w:tr>
      <w:tr w:rsidR="00A47B5A" w14:paraId="7670A94D" w14:textId="77777777">
        <w:tblPrEx>
          <w:tblCellMar>
            <w:top w:w="0" w:type="dxa"/>
            <w:bottom w:w="0" w:type="dxa"/>
          </w:tblCellMar>
        </w:tblPrEx>
        <w:tc>
          <w:tcPr>
            <w:tcW w:w="806" w:type="dxa"/>
            <w:tcBorders>
              <w:top w:val="single" w:sz="4" w:space="0" w:color="D9D9D9"/>
              <w:left w:val="single" w:sz="4" w:space="0" w:color="D9D9D9"/>
              <w:bottom w:val="single" w:sz="4" w:space="0" w:color="D9D9D9"/>
              <w:right w:val="single" w:sz="4" w:space="0" w:color="D9D9D9"/>
            </w:tcBorders>
            <w:tcMar>
              <w:top w:w="60" w:type="dxa"/>
              <w:left w:w="100" w:type="dxa"/>
              <w:bottom w:w="60" w:type="dxa"/>
              <w:right w:w="100" w:type="dxa"/>
            </w:tcMar>
          </w:tcPr>
          <w:p w14:paraId="2CE6FF71" w14:textId="77777777" w:rsidR="00A47B5A" w:rsidRDefault="00000000">
            <w:r>
              <w:rPr>
                <w:color w:val="000000"/>
                <w:sz w:val="18"/>
                <w:szCs w:val="18"/>
              </w:rPr>
              <w:t>A</w:t>
            </w:r>
          </w:p>
        </w:tc>
        <w:tc>
          <w:tcPr>
            <w:tcW w:w="1814" w:type="dxa"/>
            <w:tcBorders>
              <w:top w:val="single" w:sz="4" w:space="0" w:color="D9D9D9"/>
              <w:left w:val="single" w:sz="4" w:space="0" w:color="D9D9D9"/>
              <w:bottom w:val="single" w:sz="4" w:space="0" w:color="D9D9D9"/>
              <w:right w:val="single" w:sz="4" w:space="0" w:color="D9D9D9"/>
            </w:tcBorders>
            <w:tcMar>
              <w:top w:w="60" w:type="dxa"/>
              <w:left w:w="100" w:type="dxa"/>
              <w:bottom w:w="60" w:type="dxa"/>
              <w:right w:w="100" w:type="dxa"/>
            </w:tcMar>
          </w:tcPr>
          <w:p w14:paraId="34E25AF5" w14:textId="77777777" w:rsidR="00A47B5A" w:rsidRDefault="00000000">
            <w:r>
              <w:rPr>
                <w:color w:val="000000"/>
                <w:sz w:val="18"/>
                <w:szCs w:val="18"/>
              </w:rPr>
              <w:t>April 21, 2026</w:t>
            </w:r>
          </w:p>
        </w:tc>
        <w:tc>
          <w:tcPr>
            <w:tcW w:w="2016" w:type="dxa"/>
            <w:tcBorders>
              <w:top w:val="single" w:sz="4" w:space="0" w:color="D9D9D9"/>
              <w:left w:val="single" w:sz="4" w:space="0" w:color="D9D9D9"/>
              <w:bottom w:val="single" w:sz="4" w:space="0" w:color="D9D9D9"/>
              <w:right w:val="single" w:sz="4" w:space="0" w:color="D9D9D9"/>
            </w:tcBorders>
            <w:tcMar>
              <w:top w:w="60" w:type="dxa"/>
              <w:left w:w="100" w:type="dxa"/>
              <w:bottom w:w="60" w:type="dxa"/>
              <w:right w:w="100" w:type="dxa"/>
            </w:tcMar>
          </w:tcPr>
          <w:p w14:paraId="6AC838BA" w14:textId="77777777" w:rsidR="00A47B5A" w:rsidRDefault="00000000">
            <w:r>
              <w:rPr>
                <w:color w:val="000000"/>
                <w:sz w:val="18"/>
                <w:szCs w:val="18"/>
              </w:rPr>
              <w:t>Quality Manager</w:t>
            </w:r>
          </w:p>
        </w:tc>
        <w:tc>
          <w:tcPr>
            <w:tcW w:w="5443" w:type="dxa"/>
            <w:tcBorders>
              <w:top w:val="single" w:sz="4" w:space="0" w:color="D9D9D9"/>
              <w:left w:val="single" w:sz="4" w:space="0" w:color="D9D9D9"/>
              <w:bottom w:val="single" w:sz="4" w:space="0" w:color="D9D9D9"/>
              <w:right w:val="single" w:sz="4" w:space="0" w:color="D9D9D9"/>
            </w:tcBorders>
            <w:tcMar>
              <w:top w:w="60" w:type="dxa"/>
              <w:left w:w="100" w:type="dxa"/>
              <w:bottom w:w="60" w:type="dxa"/>
              <w:right w:w="100" w:type="dxa"/>
            </w:tcMar>
          </w:tcPr>
          <w:p w14:paraId="1E351B9A" w14:textId="77777777" w:rsidR="00A47B5A" w:rsidRDefault="00000000">
            <w:r>
              <w:rPr>
                <w:color w:val="000000"/>
                <w:sz w:val="18"/>
                <w:szCs w:val="18"/>
              </w:rPr>
              <w:t>Initial release.</w:t>
            </w:r>
          </w:p>
        </w:tc>
      </w:tr>
      <w:tr w:rsidR="00A47B5A" w14:paraId="2020636A" w14:textId="77777777">
        <w:tblPrEx>
          <w:tblCellMar>
            <w:top w:w="0" w:type="dxa"/>
            <w:bottom w:w="0" w:type="dxa"/>
          </w:tblCellMar>
        </w:tblPrEx>
        <w:tc>
          <w:tcPr>
            <w:tcW w:w="806" w:type="dxa"/>
            <w:tcBorders>
              <w:top w:val="single" w:sz="4" w:space="0" w:color="D9D9D9"/>
              <w:left w:val="single" w:sz="4" w:space="0" w:color="D9D9D9"/>
              <w:bottom w:val="single" w:sz="4" w:space="0" w:color="D9D9D9"/>
              <w:right w:val="single" w:sz="4" w:space="0" w:color="D9D9D9"/>
            </w:tcBorders>
            <w:tcMar>
              <w:top w:w="60" w:type="dxa"/>
              <w:left w:w="100" w:type="dxa"/>
              <w:bottom w:w="60" w:type="dxa"/>
              <w:right w:w="100" w:type="dxa"/>
            </w:tcMar>
          </w:tcPr>
          <w:p w14:paraId="5B1BDE51" w14:textId="77777777" w:rsidR="00A47B5A" w:rsidRDefault="00A47B5A"/>
        </w:tc>
        <w:tc>
          <w:tcPr>
            <w:tcW w:w="1814" w:type="dxa"/>
            <w:tcBorders>
              <w:top w:val="single" w:sz="4" w:space="0" w:color="D9D9D9"/>
              <w:left w:val="single" w:sz="4" w:space="0" w:color="D9D9D9"/>
              <w:bottom w:val="single" w:sz="4" w:space="0" w:color="D9D9D9"/>
              <w:right w:val="single" w:sz="4" w:space="0" w:color="D9D9D9"/>
            </w:tcBorders>
            <w:tcMar>
              <w:top w:w="60" w:type="dxa"/>
              <w:left w:w="100" w:type="dxa"/>
              <w:bottom w:w="60" w:type="dxa"/>
              <w:right w:w="100" w:type="dxa"/>
            </w:tcMar>
          </w:tcPr>
          <w:p w14:paraId="572CA01E" w14:textId="77777777" w:rsidR="00A47B5A" w:rsidRDefault="00A47B5A"/>
        </w:tc>
        <w:tc>
          <w:tcPr>
            <w:tcW w:w="2016" w:type="dxa"/>
            <w:tcBorders>
              <w:top w:val="single" w:sz="4" w:space="0" w:color="D9D9D9"/>
              <w:left w:val="single" w:sz="4" w:space="0" w:color="D9D9D9"/>
              <w:bottom w:val="single" w:sz="4" w:space="0" w:color="D9D9D9"/>
              <w:right w:val="single" w:sz="4" w:space="0" w:color="D9D9D9"/>
            </w:tcBorders>
            <w:tcMar>
              <w:top w:w="60" w:type="dxa"/>
              <w:left w:w="100" w:type="dxa"/>
              <w:bottom w:w="60" w:type="dxa"/>
              <w:right w:w="100" w:type="dxa"/>
            </w:tcMar>
          </w:tcPr>
          <w:p w14:paraId="66077ECE" w14:textId="77777777" w:rsidR="00A47B5A" w:rsidRDefault="00A47B5A"/>
        </w:tc>
        <w:tc>
          <w:tcPr>
            <w:tcW w:w="5443" w:type="dxa"/>
            <w:tcBorders>
              <w:top w:val="single" w:sz="4" w:space="0" w:color="D9D9D9"/>
              <w:left w:val="single" w:sz="4" w:space="0" w:color="D9D9D9"/>
              <w:bottom w:val="single" w:sz="4" w:space="0" w:color="D9D9D9"/>
              <w:right w:val="single" w:sz="4" w:space="0" w:color="D9D9D9"/>
            </w:tcBorders>
            <w:tcMar>
              <w:top w:w="60" w:type="dxa"/>
              <w:left w:w="100" w:type="dxa"/>
              <w:bottom w:w="60" w:type="dxa"/>
              <w:right w:w="100" w:type="dxa"/>
            </w:tcMar>
          </w:tcPr>
          <w:p w14:paraId="489891DB" w14:textId="77777777" w:rsidR="00A47B5A" w:rsidRDefault="00A47B5A"/>
        </w:tc>
      </w:tr>
      <w:tr w:rsidR="00A47B5A" w14:paraId="6A451EAE" w14:textId="77777777">
        <w:tblPrEx>
          <w:tblCellMar>
            <w:top w:w="0" w:type="dxa"/>
            <w:bottom w:w="0" w:type="dxa"/>
          </w:tblCellMar>
        </w:tblPrEx>
        <w:tc>
          <w:tcPr>
            <w:tcW w:w="806" w:type="dxa"/>
            <w:tcBorders>
              <w:top w:val="single" w:sz="4" w:space="0" w:color="D9D9D9"/>
              <w:left w:val="single" w:sz="4" w:space="0" w:color="D9D9D9"/>
              <w:bottom w:val="single" w:sz="4" w:space="0" w:color="D9D9D9"/>
              <w:right w:val="single" w:sz="4" w:space="0" w:color="D9D9D9"/>
            </w:tcBorders>
            <w:tcMar>
              <w:top w:w="60" w:type="dxa"/>
              <w:left w:w="100" w:type="dxa"/>
              <w:bottom w:w="60" w:type="dxa"/>
              <w:right w:w="100" w:type="dxa"/>
            </w:tcMar>
          </w:tcPr>
          <w:p w14:paraId="15929FB8" w14:textId="77777777" w:rsidR="00A47B5A" w:rsidRDefault="00A47B5A"/>
        </w:tc>
        <w:tc>
          <w:tcPr>
            <w:tcW w:w="1814" w:type="dxa"/>
            <w:tcBorders>
              <w:top w:val="single" w:sz="4" w:space="0" w:color="D9D9D9"/>
              <w:left w:val="single" w:sz="4" w:space="0" w:color="D9D9D9"/>
              <w:bottom w:val="single" w:sz="4" w:space="0" w:color="D9D9D9"/>
              <w:right w:val="single" w:sz="4" w:space="0" w:color="D9D9D9"/>
            </w:tcBorders>
            <w:tcMar>
              <w:top w:w="60" w:type="dxa"/>
              <w:left w:w="100" w:type="dxa"/>
              <w:bottom w:w="60" w:type="dxa"/>
              <w:right w:w="100" w:type="dxa"/>
            </w:tcMar>
          </w:tcPr>
          <w:p w14:paraId="350610E3" w14:textId="77777777" w:rsidR="00A47B5A" w:rsidRDefault="00A47B5A"/>
        </w:tc>
        <w:tc>
          <w:tcPr>
            <w:tcW w:w="2016" w:type="dxa"/>
            <w:tcBorders>
              <w:top w:val="single" w:sz="4" w:space="0" w:color="D9D9D9"/>
              <w:left w:val="single" w:sz="4" w:space="0" w:color="D9D9D9"/>
              <w:bottom w:val="single" w:sz="4" w:space="0" w:color="D9D9D9"/>
              <w:right w:val="single" w:sz="4" w:space="0" w:color="D9D9D9"/>
            </w:tcBorders>
            <w:tcMar>
              <w:top w:w="60" w:type="dxa"/>
              <w:left w:w="100" w:type="dxa"/>
              <w:bottom w:w="60" w:type="dxa"/>
              <w:right w:w="100" w:type="dxa"/>
            </w:tcMar>
          </w:tcPr>
          <w:p w14:paraId="44C2B366" w14:textId="77777777" w:rsidR="00A47B5A" w:rsidRDefault="00A47B5A"/>
        </w:tc>
        <w:tc>
          <w:tcPr>
            <w:tcW w:w="5443" w:type="dxa"/>
            <w:tcBorders>
              <w:top w:val="single" w:sz="4" w:space="0" w:color="D9D9D9"/>
              <w:left w:val="single" w:sz="4" w:space="0" w:color="D9D9D9"/>
              <w:bottom w:val="single" w:sz="4" w:space="0" w:color="D9D9D9"/>
              <w:right w:val="single" w:sz="4" w:space="0" w:color="D9D9D9"/>
            </w:tcBorders>
            <w:tcMar>
              <w:top w:w="60" w:type="dxa"/>
              <w:left w:w="100" w:type="dxa"/>
              <w:bottom w:w="60" w:type="dxa"/>
              <w:right w:w="100" w:type="dxa"/>
            </w:tcMar>
          </w:tcPr>
          <w:p w14:paraId="7C692F36" w14:textId="77777777" w:rsidR="00A47B5A" w:rsidRDefault="00A47B5A"/>
        </w:tc>
      </w:tr>
      <w:tr w:rsidR="00A47B5A" w14:paraId="2D7D51F2" w14:textId="77777777">
        <w:tblPrEx>
          <w:tblCellMar>
            <w:top w:w="0" w:type="dxa"/>
            <w:bottom w:w="0" w:type="dxa"/>
          </w:tblCellMar>
        </w:tblPrEx>
        <w:tc>
          <w:tcPr>
            <w:tcW w:w="806" w:type="dxa"/>
            <w:tcBorders>
              <w:top w:val="single" w:sz="4" w:space="0" w:color="D9D9D9"/>
              <w:left w:val="single" w:sz="4" w:space="0" w:color="D9D9D9"/>
              <w:bottom w:val="single" w:sz="4" w:space="0" w:color="D9D9D9"/>
              <w:right w:val="single" w:sz="4" w:space="0" w:color="D9D9D9"/>
            </w:tcBorders>
            <w:tcMar>
              <w:top w:w="60" w:type="dxa"/>
              <w:left w:w="100" w:type="dxa"/>
              <w:bottom w:w="60" w:type="dxa"/>
              <w:right w:w="100" w:type="dxa"/>
            </w:tcMar>
          </w:tcPr>
          <w:p w14:paraId="78B6E0FC" w14:textId="77777777" w:rsidR="00A47B5A" w:rsidRDefault="00A47B5A"/>
        </w:tc>
        <w:tc>
          <w:tcPr>
            <w:tcW w:w="1814" w:type="dxa"/>
            <w:tcBorders>
              <w:top w:val="single" w:sz="4" w:space="0" w:color="D9D9D9"/>
              <w:left w:val="single" w:sz="4" w:space="0" w:color="D9D9D9"/>
              <w:bottom w:val="single" w:sz="4" w:space="0" w:color="D9D9D9"/>
              <w:right w:val="single" w:sz="4" w:space="0" w:color="D9D9D9"/>
            </w:tcBorders>
            <w:tcMar>
              <w:top w:w="60" w:type="dxa"/>
              <w:left w:w="100" w:type="dxa"/>
              <w:bottom w:w="60" w:type="dxa"/>
              <w:right w:w="100" w:type="dxa"/>
            </w:tcMar>
          </w:tcPr>
          <w:p w14:paraId="1AE21358" w14:textId="77777777" w:rsidR="00A47B5A" w:rsidRDefault="00A47B5A"/>
        </w:tc>
        <w:tc>
          <w:tcPr>
            <w:tcW w:w="2016" w:type="dxa"/>
            <w:tcBorders>
              <w:top w:val="single" w:sz="4" w:space="0" w:color="D9D9D9"/>
              <w:left w:val="single" w:sz="4" w:space="0" w:color="D9D9D9"/>
              <w:bottom w:val="single" w:sz="4" w:space="0" w:color="D9D9D9"/>
              <w:right w:val="single" w:sz="4" w:space="0" w:color="D9D9D9"/>
            </w:tcBorders>
            <w:tcMar>
              <w:top w:w="60" w:type="dxa"/>
              <w:left w:w="100" w:type="dxa"/>
              <w:bottom w:w="60" w:type="dxa"/>
              <w:right w:w="100" w:type="dxa"/>
            </w:tcMar>
          </w:tcPr>
          <w:p w14:paraId="6E0CCABE" w14:textId="77777777" w:rsidR="00A47B5A" w:rsidRDefault="00A47B5A"/>
        </w:tc>
        <w:tc>
          <w:tcPr>
            <w:tcW w:w="5443" w:type="dxa"/>
            <w:tcBorders>
              <w:top w:val="single" w:sz="4" w:space="0" w:color="D9D9D9"/>
              <w:left w:val="single" w:sz="4" w:space="0" w:color="D9D9D9"/>
              <w:bottom w:val="single" w:sz="4" w:space="0" w:color="D9D9D9"/>
              <w:right w:val="single" w:sz="4" w:space="0" w:color="D9D9D9"/>
            </w:tcBorders>
            <w:tcMar>
              <w:top w:w="60" w:type="dxa"/>
              <w:left w:w="100" w:type="dxa"/>
              <w:bottom w:w="60" w:type="dxa"/>
              <w:right w:w="100" w:type="dxa"/>
            </w:tcMar>
          </w:tcPr>
          <w:p w14:paraId="7BCAC891" w14:textId="77777777" w:rsidR="00A47B5A" w:rsidRDefault="00A47B5A"/>
        </w:tc>
      </w:tr>
    </w:tbl>
    <w:p w14:paraId="3BBD80B7" w14:textId="77777777" w:rsidR="00A47B5A" w:rsidRDefault="00A47B5A">
      <w:pPr>
        <w:spacing w:after="160"/>
      </w:pPr>
    </w:p>
    <w:p w14:paraId="6FFFB11D" w14:textId="77777777" w:rsidR="00A47B5A" w:rsidRDefault="00000000">
      <w:pPr>
        <w:pBdr>
          <w:top w:val="single" w:sz="6" w:space="4" w:color="C0392B"/>
        </w:pBdr>
        <w:spacing w:before="120"/>
        <w:jc w:val="center"/>
      </w:pPr>
      <w:r>
        <w:rPr>
          <w:i/>
          <w:iCs/>
          <w:color w:val="555555"/>
          <w:sz w:val="16"/>
          <w:szCs w:val="16"/>
        </w:rPr>
        <w:lastRenderedPageBreak/>
        <w:t>This document is the property of Glover Precision, Inc. The current revision is maintained in the GPI quality management system. Verify revision status before use on active purchase orders.</w:t>
      </w:r>
    </w:p>
    <w:sectPr w:rsidR="00A47B5A">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1298D" w14:textId="77777777" w:rsidR="00CE3A3D" w:rsidRDefault="00CE3A3D">
      <w:r>
        <w:separator/>
      </w:r>
    </w:p>
  </w:endnote>
  <w:endnote w:type="continuationSeparator" w:id="0">
    <w:p w14:paraId="2C651D4A" w14:textId="77777777" w:rsidR="00CE3A3D" w:rsidRDefault="00CE3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D0F4F" w14:textId="77777777" w:rsidR="00A47B5A" w:rsidRDefault="00000000">
    <w:pPr>
      <w:pBdr>
        <w:top w:val="single" w:sz="6" w:space="4" w:color="C0392B"/>
      </w:pBdr>
      <w:spacing w:before="80"/>
      <w:jc w:val="center"/>
    </w:pPr>
    <w:r>
      <w:rPr>
        <w:color w:val="555555"/>
        <w:sz w:val="16"/>
        <w:szCs w:val="16"/>
      </w:rPr>
      <w:t xml:space="preserve">Glover Precision, Inc.  </w:t>
    </w:r>
    <w:proofErr w:type="gramStart"/>
    <w:r>
      <w:rPr>
        <w:color w:val="555555"/>
        <w:sz w:val="16"/>
        <w:szCs w:val="16"/>
      </w:rPr>
      <w:t>|  GPI</w:t>
    </w:r>
    <w:proofErr w:type="gramEnd"/>
    <w:r>
      <w:rPr>
        <w:color w:val="555555"/>
        <w:sz w:val="16"/>
        <w:szCs w:val="16"/>
      </w:rPr>
      <w:t xml:space="preserve">-F-STC-001 Rev A  |  Supplier Terms and Conditions  |  Page </w:t>
    </w:r>
    <w:r>
      <w:rPr>
        <w:color w:val="555555"/>
        <w:sz w:val="16"/>
        <w:szCs w:val="16"/>
      </w:rPr>
      <w:fldChar w:fldCharType="begin"/>
    </w:r>
    <w:r>
      <w:rPr>
        <w:color w:val="555555"/>
        <w:sz w:val="16"/>
        <w:szCs w:val="16"/>
      </w:rPr>
      <w:instrText>PAGE</w:instrText>
    </w:r>
    <w:r>
      <w:rPr>
        <w:color w:val="555555"/>
        <w:sz w:val="16"/>
        <w:szCs w:val="16"/>
      </w:rPr>
      <w:fldChar w:fldCharType="separate"/>
    </w:r>
    <w:r w:rsidR="00B44719">
      <w:rPr>
        <w:noProof/>
        <w:color w:val="555555"/>
        <w:sz w:val="16"/>
        <w:szCs w:val="16"/>
      </w:rPr>
      <w:t>1</w:t>
    </w:r>
    <w:r>
      <w:rPr>
        <w:color w:val="55555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042E1" w14:textId="77777777" w:rsidR="00CE3A3D" w:rsidRDefault="00CE3A3D">
      <w:r>
        <w:separator/>
      </w:r>
    </w:p>
  </w:footnote>
  <w:footnote w:type="continuationSeparator" w:id="0">
    <w:p w14:paraId="1145D55A" w14:textId="77777777" w:rsidR="00CE3A3D" w:rsidRDefault="00CE3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44"/>
      <w:gridCol w:w="2520"/>
      <w:gridCol w:w="2016"/>
    </w:tblGrid>
    <w:tr w:rsidR="00A47B5A" w14:paraId="7D6F004D" w14:textId="77777777">
      <w:tblPrEx>
        <w:tblCellMar>
          <w:top w:w="0" w:type="dxa"/>
          <w:bottom w:w="0" w:type="dxa"/>
        </w:tblCellMar>
      </w:tblPrEx>
      <w:trPr>
        <w:tblHeader/>
      </w:trPr>
      <w:tc>
        <w:tcPr>
          <w:tcW w:w="5544" w:type="dxa"/>
          <w:tcBorders>
            <w:top w:val="none" w:sz="0" w:space="0" w:color="FFFFFF"/>
            <w:left w:val="none" w:sz="0" w:space="0" w:color="FFFFFF"/>
            <w:bottom w:val="none" w:sz="0" w:space="0" w:color="FFFFFF"/>
            <w:right w:val="none" w:sz="0" w:space="0" w:color="FFFFFF"/>
          </w:tcBorders>
          <w:shd w:val="clear" w:color="auto" w:fill="1E2328"/>
          <w:tcMar>
            <w:top w:w="60" w:type="dxa"/>
            <w:left w:w="120" w:type="dxa"/>
            <w:bottom w:w="60" w:type="dxa"/>
            <w:right w:w="60" w:type="dxa"/>
          </w:tcMar>
        </w:tcPr>
        <w:p w14:paraId="2D35B0FD" w14:textId="77777777" w:rsidR="00A47B5A" w:rsidRDefault="00000000">
          <w:r>
            <w:rPr>
              <w:b/>
              <w:bCs/>
              <w:color w:val="FFFFFF"/>
              <w:sz w:val="22"/>
              <w:szCs w:val="22"/>
            </w:rPr>
            <w:t>GLOVER PRECISION, INC.</w:t>
          </w:r>
        </w:p>
        <w:p w14:paraId="7FD3AE93" w14:textId="77777777" w:rsidR="00A47B5A" w:rsidRDefault="00000000">
          <w:r>
            <w:rPr>
              <w:color w:val="BBBBBB"/>
              <w:sz w:val="16"/>
              <w:szCs w:val="16"/>
            </w:rPr>
            <w:t>Supplier Terms and Conditions</w:t>
          </w:r>
        </w:p>
      </w:tc>
      <w:tc>
        <w:tcPr>
          <w:tcW w:w="2520" w:type="dxa"/>
          <w:tcBorders>
            <w:top w:val="none" w:sz="0" w:space="0" w:color="FFFFFF"/>
            <w:left w:val="none" w:sz="0" w:space="0" w:color="FFFFFF"/>
            <w:bottom w:val="none" w:sz="0" w:space="0" w:color="FFFFFF"/>
            <w:right w:val="none" w:sz="0" w:space="0" w:color="FFFFFF"/>
          </w:tcBorders>
          <w:shd w:val="clear" w:color="auto" w:fill="1E2328"/>
          <w:tcMar>
            <w:top w:w="60" w:type="dxa"/>
            <w:left w:w="100" w:type="dxa"/>
            <w:bottom w:w="60" w:type="dxa"/>
            <w:right w:w="100" w:type="dxa"/>
          </w:tcMar>
          <w:vAlign w:val="center"/>
        </w:tcPr>
        <w:p w14:paraId="76DD4758" w14:textId="77777777" w:rsidR="00A47B5A" w:rsidRDefault="00000000">
          <w:pPr>
            <w:jc w:val="center"/>
          </w:pPr>
          <w:r>
            <w:rPr>
              <w:b/>
              <w:bCs/>
              <w:color w:val="FFFFFF"/>
              <w:sz w:val="18"/>
              <w:szCs w:val="18"/>
            </w:rPr>
            <w:t>GPI-F-STC-</w:t>
          </w:r>
          <w:proofErr w:type="gramStart"/>
          <w:r>
            <w:rPr>
              <w:b/>
              <w:bCs/>
              <w:color w:val="FFFFFF"/>
              <w:sz w:val="18"/>
              <w:szCs w:val="18"/>
            </w:rPr>
            <w:t>001  Rev</w:t>
          </w:r>
          <w:proofErr w:type="gramEnd"/>
          <w:r>
            <w:rPr>
              <w:b/>
              <w:bCs/>
              <w:color w:val="FFFFFF"/>
              <w:sz w:val="18"/>
              <w:szCs w:val="18"/>
            </w:rPr>
            <w:t xml:space="preserve"> A</w:t>
          </w:r>
        </w:p>
      </w:tc>
      <w:tc>
        <w:tcPr>
          <w:tcW w:w="2016" w:type="dxa"/>
          <w:tcBorders>
            <w:top w:val="none" w:sz="0" w:space="0" w:color="FFFFFF"/>
            <w:left w:val="none" w:sz="0" w:space="0" w:color="FFFFFF"/>
            <w:bottom w:val="none" w:sz="0" w:space="0" w:color="FFFFFF"/>
            <w:right w:val="none" w:sz="0" w:space="0" w:color="FFFFFF"/>
          </w:tcBorders>
          <w:shd w:val="clear" w:color="auto" w:fill="C0392B"/>
          <w:tcMar>
            <w:top w:w="60" w:type="dxa"/>
            <w:left w:w="100" w:type="dxa"/>
            <w:bottom w:w="60" w:type="dxa"/>
            <w:right w:w="100" w:type="dxa"/>
          </w:tcMar>
          <w:vAlign w:val="center"/>
        </w:tcPr>
        <w:p w14:paraId="2206E43F" w14:textId="77777777" w:rsidR="00A47B5A" w:rsidRDefault="00000000">
          <w:pPr>
            <w:jc w:val="center"/>
          </w:pPr>
          <w:r>
            <w:rPr>
              <w:b/>
              <w:bCs/>
              <w:color w:val="FFFFFF"/>
              <w:sz w:val="15"/>
              <w:szCs w:val="15"/>
            </w:rPr>
            <w:t>CONTROLLED DOCUMENT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E51AE"/>
    <w:multiLevelType w:val="hybridMultilevel"/>
    <w:tmpl w:val="9B767F10"/>
    <w:lvl w:ilvl="0" w:tplc="FD5C4D7C">
      <w:start w:val="1"/>
      <w:numFmt w:val="bullet"/>
      <w:lvlText w:val="●"/>
      <w:lvlJc w:val="left"/>
      <w:pPr>
        <w:ind w:left="720" w:hanging="360"/>
      </w:pPr>
    </w:lvl>
    <w:lvl w:ilvl="1" w:tplc="0DE0D066">
      <w:start w:val="1"/>
      <w:numFmt w:val="bullet"/>
      <w:lvlText w:val="○"/>
      <w:lvlJc w:val="left"/>
      <w:pPr>
        <w:ind w:left="1440" w:hanging="360"/>
      </w:pPr>
    </w:lvl>
    <w:lvl w:ilvl="2" w:tplc="5024FF16">
      <w:start w:val="1"/>
      <w:numFmt w:val="bullet"/>
      <w:lvlText w:val="■"/>
      <w:lvlJc w:val="left"/>
      <w:pPr>
        <w:ind w:left="2160" w:hanging="360"/>
      </w:pPr>
    </w:lvl>
    <w:lvl w:ilvl="3" w:tplc="B69023EC">
      <w:start w:val="1"/>
      <w:numFmt w:val="bullet"/>
      <w:lvlText w:val="●"/>
      <w:lvlJc w:val="left"/>
      <w:pPr>
        <w:ind w:left="2880" w:hanging="360"/>
      </w:pPr>
    </w:lvl>
    <w:lvl w:ilvl="4" w:tplc="96E8D7E8">
      <w:start w:val="1"/>
      <w:numFmt w:val="bullet"/>
      <w:lvlText w:val="○"/>
      <w:lvlJc w:val="left"/>
      <w:pPr>
        <w:ind w:left="3600" w:hanging="360"/>
      </w:pPr>
    </w:lvl>
    <w:lvl w:ilvl="5" w:tplc="7AD81380">
      <w:start w:val="1"/>
      <w:numFmt w:val="bullet"/>
      <w:lvlText w:val="■"/>
      <w:lvlJc w:val="left"/>
      <w:pPr>
        <w:ind w:left="4320" w:hanging="360"/>
      </w:pPr>
    </w:lvl>
    <w:lvl w:ilvl="6" w:tplc="834A29E0">
      <w:start w:val="1"/>
      <w:numFmt w:val="bullet"/>
      <w:lvlText w:val="●"/>
      <w:lvlJc w:val="left"/>
      <w:pPr>
        <w:ind w:left="5040" w:hanging="360"/>
      </w:pPr>
    </w:lvl>
    <w:lvl w:ilvl="7" w:tplc="D47072C6">
      <w:start w:val="1"/>
      <w:numFmt w:val="bullet"/>
      <w:lvlText w:val="●"/>
      <w:lvlJc w:val="left"/>
      <w:pPr>
        <w:ind w:left="5760" w:hanging="360"/>
      </w:pPr>
    </w:lvl>
    <w:lvl w:ilvl="8" w:tplc="85C43E50">
      <w:start w:val="1"/>
      <w:numFmt w:val="bullet"/>
      <w:lvlText w:val="●"/>
      <w:lvlJc w:val="left"/>
      <w:pPr>
        <w:ind w:left="6480" w:hanging="360"/>
      </w:pPr>
    </w:lvl>
  </w:abstractNum>
  <w:abstractNum w:abstractNumId="1" w15:restartNumberingAfterBreak="0">
    <w:nsid w:val="6DA35F3E"/>
    <w:multiLevelType w:val="hybridMultilevel"/>
    <w:tmpl w:val="3676A4E6"/>
    <w:lvl w:ilvl="0" w:tplc="AC76B464">
      <w:start w:val="1"/>
      <w:numFmt w:val="bullet"/>
      <w:lvlText w:val="•"/>
      <w:lvlJc w:val="left"/>
      <w:pPr>
        <w:ind w:left="720" w:hanging="360"/>
      </w:pPr>
    </w:lvl>
    <w:lvl w:ilvl="1" w:tplc="1556CA12">
      <w:numFmt w:val="decimal"/>
      <w:lvlText w:val=""/>
      <w:lvlJc w:val="left"/>
    </w:lvl>
    <w:lvl w:ilvl="2" w:tplc="92D69994">
      <w:numFmt w:val="decimal"/>
      <w:lvlText w:val=""/>
      <w:lvlJc w:val="left"/>
    </w:lvl>
    <w:lvl w:ilvl="3" w:tplc="71CC1C70">
      <w:numFmt w:val="decimal"/>
      <w:lvlText w:val=""/>
      <w:lvlJc w:val="left"/>
    </w:lvl>
    <w:lvl w:ilvl="4" w:tplc="573615EC">
      <w:numFmt w:val="decimal"/>
      <w:lvlText w:val=""/>
      <w:lvlJc w:val="left"/>
    </w:lvl>
    <w:lvl w:ilvl="5" w:tplc="61D6B424">
      <w:numFmt w:val="decimal"/>
      <w:lvlText w:val=""/>
      <w:lvlJc w:val="left"/>
    </w:lvl>
    <w:lvl w:ilvl="6" w:tplc="774C29DE">
      <w:numFmt w:val="decimal"/>
      <w:lvlText w:val=""/>
      <w:lvlJc w:val="left"/>
    </w:lvl>
    <w:lvl w:ilvl="7" w:tplc="ADEE369E">
      <w:numFmt w:val="decimal"/>
      <w:lvlText w:val=""/>
      <w:lvlJc w:val="left"/>
    </w:lvl>
    <w:lvl w:ilvl="8" w:tplc="CF52379E">
      <w:numFmt w:val="decimal"/>
      <w:lvlText w:val=""/>
      <w:lvlJc w:val="left"/>
    </w:lvl>
  </w:abstractNum>
  <w:num w:numId="1" w16cid:durableId="384257342">
    <w:abstractNumId w:val="0"/>
    <w:lvlOverride w:ilvl="0">
      <w:startOverride w:val="1"/>
    </w:lvlOverride>
  </w:num>
  <w:num w:numId="2" w16cid:durableId="114642964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B5A"/>
    <w:rsid w:val="009C3285"/>
    <w:rsid w:val="00A47B5A"/>
    <w:rsid w:val="00A71A5C"/>
    <w:rsid w:val="00B44719"/>
    <w:rsid w:val="00CE3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5D69B4"/>
  <w15:docId w15:val="{C01E437F-3EED-8945-AB09-1DA8ED94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2429</Words>
  <Characters>13846</Characters>
  <Application>Microsoft Office Word</Application>
  <DocSecurity>0</DocSecurity>
  <Lines>115</Lines>
  <Paragraphs>32</Paragraphs>
  <ScaleCrop>false</ScaleCrop>
  <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William Glover</cp:lastModifiedBy>
  <cp:revision>2</cp:revision>
  <dcterms:created xsi:type="dcterms:W3CDTF">2026-04-22T15:46:00Z</dcterms:created>
  <dcterms:modified xsi:type="dcterms:W3CDTF">2026-04-22T15:46:00Z</dcterms:modified>
</cp:coreProperties>
</file>